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33B" w:rsidRPr="003A133B" w:rsidRDefault="003A133B" w:rsidP="003A133B">
      <w:pPr>
        <w:tabs>
          <w:tab w:val="left" w:pos="5373"/>
        </w:tabs>
        <w:spacing w:after="0" w:line="240" w:lineRule="auto"/>
        <w:jc w:val="center"/>
        <w:rPr>
          <w:rFonts w:ascii="Times New Roman" w:eastAsia="Calibri" w:hAnsi="Times New Roman" w:cs="Times New Roman"/>
          <w:b/>
          <w:sz w:val="24"/>
          <w:szCs w:val="24"/>
        </w:rPr>
      </w:pPr>
      <w:r w:rsidRPr="003A133B">
        <w:rPr>
          <w:rFonts w:ascii="Times New Roman" w:eastAsia="Calibri" w:hAnsi="Times New Roman" w:cs="Times New Roman"/>
          <w:b/>
          <w:sz w:val="24"/>
          <w:szCs w:val="24"/>
        </w:rPr>
        <w:t>Методические рекомендации по проведению школьного этапа всероссийской олимпиады школьников по технологии (мальчики)</w:t>
      </w:r>
    </w:p>
    <w:p w:rsidR="003A133B" w:rsidRPr="003A133B" w:rsidRDefault="003A133B" w:rsidP="003A133B">
      <w:pPr>
        <w:tabs>
          <w:tab w:val="left" w:pos="5373"/>
        </w:tabs>
        <w:spacing w:after="0" w:line="240" w:lineRule="auto"/>
        <w:jc w:val="both"/>
        <w:rPr>
          <w:rFonts w:ascii="Times New Roman" w:eastAsia="Calibri" w:hAnsi="Times New Roman" w:cs="Times New Roman"/>
          <w:b/>
          <w:sz w:val="24"/>
          <w:szCs w:val="24"/>
        </w:rPr>
      </w:pPr>
    </w:p>
    <w:p w:rsidR="003A133B" w:rsidRPr="003A133B" w:rsidRDefault="003A133B" w:rsidP="003A133B">
      <w:pPr>
        <w:numPr>
          <w:ilvl w:val="0"/>
          <w:numId w:val="1"/>
        </w:numPr>
        <w:tabs>
          <w:tab w:val="left" w:pos="851"/>
        </w:tabs>
        <w:spacing w:after="0" w:line="240" w:lineRule="auto"/>
        <w:ind w:firstLine="567"/>
        <w:contextualSpacing/>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Принципы составления олимпиадных заданий.</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Первым  конкурсом  школьного  этапа  должен  быть теоретический (тесты и вопросы).   Вторым  конкурсом  является  практический  тур. Степень сложности задания должна соответствовать уровню теоретической и практической подготовки учащихся в данной возрастной группе.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При  разработке  практических  заданий  по  технологии  нецелесообразно  давать  на конкурс    сложные модели,  так  как  они  требуют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знаний  и  умений,  что  более  соответствует профессиональным конкурсам.  В  то  время  как  при  выполнении  небольших  по  объему  заданий  каждый школьник может  уложиться  в  норму  отведенного  времени,  проявить  свои  способности  решать конструкторские задачи,  что  создает  необходимые  для  объективности  равные  для  всех условия соревнования.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Задания теоретического конкурса должны отвечать следующим требованиям: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должны  проверять  у  участников  олимпиады общеучебные,  общетрудовые  и специальные технологические знания;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 25% заданий следует ориентировать на углублённый материал по основным разделам программы; 25% заданий следует разработать с применением межпредметных связей, но по базовому содержанию;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должны быть разнообразными по форме и содержанию;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формулировка контрольного вопроса, или  задания должна быть понятной, доходчивой, лаконичной и иметь однозначный ответ;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в  заданиях  выбора  для  маскировки  правильного  ответа  должны  быть  использованы только реально существующие термины и понятия, составляющие базовую программу по технологии;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олимпиады должны осуществлять не  только контроль  знаний, но и  выполнять обучающие и развивающие функции;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контрольные  вопросы  и  задания  должны  соответствовать  современному  уровню развития науки, техники, технологии;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теоретического  конкурса  должны  соответствовать  основным  педагогическим принципам: системности, научности, доступности, наглядности и др.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При составлении тестов следует использовать известные в теории и практике виды тестовых заданий: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с выбором правильного ответа, когда в тесте присутствуют  готовые ответы на выбор;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без готового ответа, или задание открытой формы, когда участник олимпиады во время тестирования вписывает ответ самостоятельно в отведенном для этого месте;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на установление соответствия, в котором элементы одного множества требуется поставить в соответствие элементам другого множества;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  задания  на  установление  правильной  последовательности,  где  требуется  установить правильную последовательность действий, шагов, операций и др.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p>
    <w:p w:rsidR="003A133B" w:rsidRPr="003A133B" w:rsidRDefault="003A133B" w:rsidP="003A133B">
      <w:pPr>
        <w:spacing w:after="0" w:line="240" w:lineRule="auto"/>
        <w:ind w:firstLine="567"/>
        <w:contextualSpacing/>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2. Необходимое  материально-технического обеспечение для выполнения  олимпиадных заданий.</w:t>
      </w:r>
    </w:p>
    <w:p w:rsidR="003A133B" w:rsidRPr="003A133B" w:rsidRDefault="003A133B" w:rsidP="003A133B">
      <w:pPr>
        <w:spacing w:after="0" w:line="240" w:lineRule="auto"/>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В  качестве  аудиторий  для  теоретического  конкурса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Школьный этап проводится для 7-8 </w:t>
      </w:r>
      <w:r w:rsidRPr="003A133B">
        <w:rPr>
          <w:rFonts w:ascii="Times New Roman" w:eastAsia="Calibri" w:hAnsi="Times New Roman" w:cs="Times New Roman"/>
          <w:sz w:val="24"/>
          <w:szCs w:val="24"/>
        </w:rPr>
        <w:lastRenderedPageBreak/>
        <w:t xml:space="preserve">классов. Время на выполнение  – 2 часа. Каждый участник конкурса должен иметь при себе перечень канцелярских принадлежностей: </w:t>
      </w:r>
      <w:r w:rsidRPr="003A133B">
        <w:rPr>
          <w:rFonts w:ascii="Times New Roman" w:eastAsia="Calibri" w:hAnsi="Times New Roman" w:cs="Times New Roman"/>
          <w:sz w:val="24"/>
          <w:szCs w:val="24"/>
          <w:u w:val="single"/>
        </w:rPr>
        <w:t>подкладная доска,</w:t>
      </w:r>
      <w:r w:rsidRPr="003A133B">
        <w:rPr>
          <w:rFonts w:ascii="Times New Roman" w:eastAsia="Calibri" w:hAnsi="Times New Roman" w:cs="Times New Roman"/>
          <w:sz w:val="24"/>
          <w:szCs w:val="24"/>
        </w:rPr>
        <w:t xml:space="preserve"> картон, ножницы, канцелярский нож, линейка, циркуль, карандаш, ластик, карандашный клей, лист бумаги для эскиза изделия.</w:t>
      </w:r>
    </w:p>
    <w:p w:rsidR="003A133B" w:rsidRPr="003A133B" w:rsidRDefault="003A133B" w:rsidP="003A133B">
      <w:pPr>
        <w:spacing w:after="0" w:line="240" w:lineRule="auto"/>
        <w:jc w:val="both"/>
        <w:rPr>
          <w:rFonts w:ascii="Times New Roman" w:eastAsia="Calibri" w:hAnsi="Times New Roman" w:cs="Times New Roman"/>
          <w:sz w:val="24"/>
          <w:szCs w:val="24"/>
        </w:rPr>
      </w:pP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Во  время  тура  участникам  олимпиады  запрещается  пользоваться    любыми электронными  устройствами,  электронными  записными  книжками,  средствами  связи (пейджерами,  мобильными  телефонами  и  т.п.),  а  также  учебной  литературой  и заготовленными личными записями. </w:t>
      </w: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4. Критерии и методики оценивания выполненных олимпиадных заданий.</w:t>
      </w:r>
    </w:p>
    <w:p w:rsidR="003A133B" w:rsidRPr="003A133B" w:rsidRDefault="003A133B" w:rsidP="003A133B">
      <w:pPr>
        <w:spacing w:after="0" w:line="240" w:lineRule="auto"/>
        <w:ind w:firstLine="567"/>
        <w:contextualSpacing/>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Олимпиада проводится в двух этапах: теоретический и практический.</w:t>
      </w:r>
      <w:r>
        <w:rPr>
          <w:rFonts w:ascii="Times New Roman" w:eastAsia="Calibri" w:hAnsi="Times New Roman" w:cs="Times New Roman"/>
          <w:sz w:val="24"/>
          <w:szCs w:val="24"/>
        </w:rPr>
        <w:t xml:space="preserve"> Оцениваются в соответствии с критериями.</w:t>
      </w:r>
    </w:p>
    <w:p w:rsidR="003A133B" w:rsidRPr="003A133B" w:rsidRDefault="003A133B" w:rsidP="003A133B">
      <w:pPr>
        <w:tabs>
          <w:tab w:val="left" w:pos="1004"/>
        </w:tabs>
        <w:spacing w:after="0" w:line="240" w:lineRule="auto"/>
        <w:ind w:firstLine="567"/>
        <w:contextualSpacing/>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Практическое задание для школьного этапа включает в себя «Конструирование и Моделирование». (Составить описание модели по ее эскизу или выполнить эскиз модели по ее описанию и составить технологическую карту на изготовление этого изделия).</w:t>
      </w:r>
    </w:p>
    <w:p w:rsidR="003A133B" w:rsidRPr="003A133B" w:rsidRDefault="003A133B" w:rsidP="003A133B">
      <w:pPr>
        <w:tabs>
          <w:tab w:val="left" w:pos="1004"/>
        </w:tabs>
        <w:spacing w:after="0" w:line="240" w:lineRule="auto"/>
        <w:ind w:firstLine="567"/>
        <w:contextualSpacing/>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Критерии оценки практического задания:</w:t>
      </w:r>
      <w:r w:rsidRPr="003A133B">
        <w:rPr>
          <w:rFonts w:ascii="Times New Roman" w:eastAsia="Calibri" w:hAnsi="Times New Roman" w:cs="Times New Roman"/>
          <w:sz w:val="24"/>
          <w:szCs w:val="24"/>
        </w:rPr>
        <w:tab/>
      </w:r>
    </w:p>
    <w:tbl>
      <w:tblPr>
        <w:tblStyle w:val="a3"/>
        <w:tblW w:w="10680" w:type="dxa"/>
        <w:tblInd w:w="49" w:type="dxa"/>
        <w:tblLook w:val="04A0" w:firstRow="1" w:lastRow="0" w:firstColumn="1" w:lastColumn="0" w:noHBand="0" w:noVBand="1"/>
      </w:tblPr>
      <w:tblGrid>
        <w:gridCol w:w="1956"/>
        <w:gridCol w:w="2501"/>
        <w:gridCol w:w="1956"/>
        <w:gridCol w:w="2212"/>
        <w:gridCol w:w="2055"/>
      </w:tblGrid>
      <w:tr w:rsidR="003A133B" w:rsidRPr="003A133B" w:rsidTr="001F0577">
        <w:trPr>
          <w:trHeight w:val="612"/>
        </w:trPr>
        <w:tc>
          <w:tcPr>
            <w:tcW w:w="1956" w:type="dxa"/>
          </w:tcPr>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Соответствие</w:t>
            </w:r>
          </w:p>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эскизу (0-1-2 балла)</w:t>
            </w:r>
          </w:p>
        </w:tc>
        <w:tc>
          <w:tcPr>
            <w:tcW w:w="2501" w:type="dxa"/>
          </w:tcPr>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Много</w:t>
            </w:r>
          </w:p>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функциональность (0-1-2 балла)</w:t>
            </w:r>
          </w:p>
        </w:tc>
        <w:tc>
          <w:tcPr>
            <w:tcW w:w="1956" w:type="dxa"/>
          </w:tcPr>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Прочность</w:t>
            </w:r>
          </w:p>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сборки (0-1-2 балла)</w:t>
            </w:r>
          </w:p>
        </w:tc>
        <w:tc>
          <w:tcPr>
            <w:tcW w:w="2212" w:type="dxa"/>
          </w:tcPr>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Оригинальность (0-1-2 балла)</w:t>
            </w:r>
          </w:p>
        </w:tc>
        <w:tc>
          <w:tcPr>
            <w:tcW w:w="2055" w:type="dxa"/>
          </w:tcPr>
          <w:p w:rsidR="003A133B" w:rsidRPr="003A133B" w:rsidRDefault="003A133B" w:rsidP="003A133B">
            <w:pPr>
              <w:tabs>
                <w:tab w:val="left" w:pos="1004"/>
              </w:tabs>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Гигиеничность (0-1-2 балла)</w:t>
            </w:r>
          </w:p>
        </w:tc>
      </w:tr>
    </w:tbl>
    <w:p w:rsidR="003A133B" w:rsidRPr="003A133B" w:rsidRDefault="003A133B" w:rsidP="003A133B">
      <w:pPr>
        <w:spacing w:after="0" w:line="240" w:lineRule="auto"/>
        <w:ind w:firstLine="567"/>
        <w:jc w:val="both"/>
        <w:rPr>
          <w:rFonts w:ascii="Times New Roman" w:eastAsia="Calibri" w:hAnsi="Times New Roman" w:cs="Times New Roman"/>
          <w:sz w:val="24"/>
          <w:szCs w:val="24"/>
        </w:rPr>
      </w:pP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5. Регистрация участников олимпиады</w:t>
      </w:r>
    </w:p>
    <w:p w:rsidR="003A133B" w:rsidRPr="003A133B" w:rsidRDefault="003A133B" w:rsidP="003A133B">
      <w:pPr>
        <w:autoSpaceDE w:val="0"/>
        <w:autoSpaceDN w:val="0"/>
        <w:adjustRightInd w:val="0"/>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3A133B" w:rsidRPr="003A133B" w:rsidRDefault="003A133B" w:rsidP="003A133B">
      <w:pPr>
        <w:autoSpaceDE w:val="0"/>
        <w:autoSpaceDN w:val="0"/>
        <w:adjustRightInd w:val="0"/>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3A133B" w:rsidRPr="003A133B" w:rsidRDefault="003A133B" w:rsidP="003A133B">
      <w:pPr>
        <w:autoSpaceDE w:val="0"/>
        <w:autoSpaceDN w:val="0"/>
        <w:adjustRightInd w:val="0"/>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Участники должны сидеть в аудитории на таком расстоянии друг от друга, чтобы не видеть работу соседа.</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Обеспечивается  единство возможностей для всех участников.</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1. Дежурный по аудитории предлагает участникам оставить вещи в определенном месте, например, у доски.</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2. Дежурный по аудитории рассаживает участников олимпиады по одному за парту. </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3. Предупреждает, что работа должна быть выполнена только ручкой.</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6. Необходимо указать на доске время начала и время окончания тура.</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7. После выполнения тура необходимо собрать работы. Пересчитать по количеству участников тура.</w:t>
      </w:r>
    </w:p>
    <w:p w:rsidR="003A133B" w:rsidRPr="003A133B" w:rsidRDefault="003A133B" w:rsidP="003A133B">
      <w:pPr>
        <w:tabs>
          <w:tab w:val="left" w:pos="851"/>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3A133B" w:rsidRPr="003A133B" w:rsidRDefault="003A133B" w:rsidP="003A133B">
      <w:pPr>
        <w:tabs>
          <w:tab w:val="left" w:pos="709"/>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3A133B" w:rsidRPr="003A133B" w:rsidRDefault="003A133B" w:rsidP="003A133B">
      <w:pPr>
        <w:tabs>
          <w:tab w:val="left" w:pos="709"/>
        </w:tabs>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3A133B" w:rsidRPr="003A133B" w:rsidRDefault="003A133B" w:rsidP="003A133B">
      <w:pPr>
        <w:autoSpaceDE w:val="0"/>
        <w:autoSpaceDN w:val="0"/>
        <w:adjustRightInd w:val="0"/>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3A133B" w:rsidRPr="003A133B" w:rsidRDefault="003A133B" w:rsidP="003A133B">
      <w:pPr>
        <w:autoSpaceDE w:val="0"/>
        <w:autoSpaceDN w:val="0"/>
        <w:adjustRightInd w:val="0"/>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lastRenderedPageBreak/>
        <w:t>Участник не может выйти из аудитории с заданием или листом ответов.</w:t>
      </w: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r w:rsidRPr="003A133B">
        <w:rPr>
          <w:rFonts w:ascii="Times New Roman" w:eastAsia="Calibri" w:hAnsi="Times New Roman" w:cs="Times New Roman"/>
          <w:b/>
          <w:sz w:val="24"/>
          <w:szCs w:val="24"/>
        </w:rPr>
        <w:t>6. Показ олимпиадных работ, рассмотрение апелляций.</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3A133B">
        <w:rPr>
          <w:rFonts w:ascii="Times New Roman" w:eastAsia="Times New Roman" w:hAnsi="Times New Roman" w:cs="Times New Roman"/>
          <w:sz w:val="24"/>
          <w:szCs w:val="24"/>
        </w:rPr>
        <w:t xml:space="preserve">Критерии и методика оценивания олимпиадных заданий не могут быть предметом апелляции и пересмотру не подлежат. </w:t>
      </w:r>
      <w:r w:rsidRPr="003A133B">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Рекомендуется вести аудио или видеозапись апелляций.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Документами по проведению апелляции являются: </w:t>
      </w:r>
    </w:p>
    <w:p w:rsidR="003A133B" w:rsidRPr="003A133B" w:rsidRDefault="003A133B" w:rsidP="003A133B">
      <w:pPr>
        <w:numPr>
          <w:ilvl w:val="0"/>
          <w:numId w:val="2"/>
        </w:num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письменные апелляции о несогласии с выставленными баллами; </w:t>
      </w:r>
    </w:p>
    <w:p w:rsidR="003A133B" w:rsidRPr="003A133B" w:rsidRDefault="003A133B" w:rsidP="003A133B">
      <w:pPr>
        <w:numPr>
          <w:ilvl w:val="0"/>
          <w:numId w:val="2"/>
        </w:num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журнал (листы) регистрации апелляций; </w:t>
      </w:r>
    </w:p>
    <w:p w:rsidR="003A133B" w:rsidRPr="003A133B" w:rsidRDefault="003A133B" w:rsidP="003A133B">
      <w:pPr>
        <w:numPr>
          <w:ilvl w:val="0"/>
          <w:numId w:val="2"/>
        </w:num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r w:rsidRPr="003A133B">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3A133B">
        <w:rPr>
          <w:rFonts w:ascii="Times New Roman" w:eastAsia="Calibri" w:hAnsi="Times New Roman" w:cs="Times New Roman"/>
          <w:sz w:val="24"/>
          <w:szCs w:val="24"/>
        </w:rPr>
        <w:t xml:space="preserve">образования администрации </w:t>
      </w:r>
      <w:r>
        <w:rPr>
          <w:rFonts w:ascii="Times New Roman" w:eastAsia="Calibri" w:hAnsi="Times New Roman" w:cs="Times New Roman"/>
          <w:sz w:val="24"/>
          <w:szCs w:val="24"/>
        </w:rPr>
        <w:t xml:space="preserve">Новоорского района </w:t>
      </w:r>
      <w:bookmarkStart w:id="0" w:name="_GoBack"/>
      <w:bookmarkEnd w:id="0"/>
      <w:r w:rsidRPr="003A133B">
        <w:rPr>
          <w:rFonts w:ascii="Times New Roman" w:eastAsia="Calibri" w:hAnsi="Times New Roman" w:cs="Times New Roman"/>
          <w:sz w:val="24"/>
          <w:szCs w:val="24"/>
        </w:rPr>
        <w:t>с учетом результатов рассмотрения апелляции.</w:t>
      </w:r>
    </w:p>
    <w:p w:rsidR="003A133B" w:rsidRPr="003A133B" w:rsidRDefault="003A133B" w:rsidP="003A133B">
      <w:pPr>
        <w:spacing w:after="0" w:line="240" w:lineRule="auto"/>
        <w:ind w:firstLine="567"/>
        <w:jc w:val="both"/>
        <w:rPr>
          <w:rFonts w:ascii="Times New Roman" w:eastAsia="Calibri" w:hAnsi="Times New Roman" w:cs="Times New Roman"/>
          <w:sz w:val="24"/>
          <w:szCs w:val="24"/>
        </w:rPr>
      </w:pP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p>
    <w:p w:rsidR="003A133B" w:rsidRPr="003A133B" w:rsidRDefault="003A133B" w:rsidP="003A133B">
      <w:pPr>
        <w:spacing w:after="0" w:line="240" w:lineRule="auto"/>
        <w:ind w:firstLine="567"/>
        <w:jc w:val="both"/>
        <w:rPr>
          <w:rFonts w:ascii="Times New Roman" w:eastAsia="Calibri" w:hAnsi="Times New Roman" w:cs="Times New Roman"/>
          <w:b/>
          <w:sz w:val="24"/>
          <w:szCs w:val="24"/>
        </w:rPr>
      </w:pPr>
    </w:p>
    <w:p w:rsidR="003A133B" w:rsidRPr="003A133B" w:rsidRDefault="003A133B" w:rsidP="003A133B">
      <w:pPr>
        <w:spacing w:after="0" w:line="240" w:lineRule="auto"/>
        <w:jc w:val="both"/>
        <w:rPr>
          <w:rFonts w:ascii="Times New Roman" w:eastAsia="Calibri" w:hAnsi="Times New Roman" w:cs="Times New Roman"/>
          <w:sz w:val="24"/>
          <w:szCs w:val="24"/>
        </w:rPr>
      </w:pPr>
    </w:p>
    <w:p w:rsidR="003A133B" w:rsidRPr="003A133B" w:rsidRDefault="003A133B" w:rsidP="003A133B">
      <w:pPr>
        <w:tabs>
          <w:tab w:val="left" w:pos="1004"/>
        </w:tabs>
        <w:spacing w:after="0" w:line="240" w:lineRule="auto"/>
        <w:ind w:left="720"/>
        <w:contextualSpacing/>
        <w:jc w:val="both"/>
        <w:rPr>
          <w:rFonts w:ascii="Times New Roman" w:eastAsia="Calibri" w:hAnsi="Times New Roman" w:cs="Times New Roman"/>
          <w:sz w:val="24"/>
          <w:szCs w:val="24"/>
        </w:rPr>
      </w:pPr>
    </w:p>
    <w:p w:rsidR="00D47C72" w:rsidRDefault="00D47C72"/>
    <w:sectPr w:rsidR="00D47C72" w:rsidSect="00A01E2D">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2D3"/>
    <w:multiLevelType w:val="hybridMultilevel"/>
    <w:tmpl w:val="FC5AB6F4"/>
    <w:lvl w:ilvl="0" w:tplc="6480000A">
      <w:start w:val="1"/>
      <w:numFmt w:val="decimal"/>
      <w:lvlText w:val="%1."/>
      <w:lvlJc w:val="left"/>
      <w:pPr>
        <w:ind w:left="786" w:hanging="360"/>
      </w:pPr>
      <w:rPr>
        <w:rFonts w:hint="default"/>
        <w:b/>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33B"/>
    <w:rsid w:val="003A133B"/>
    <w:rsid w:val="00D4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1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13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1397</Words>
  <Characters>7966</Characters>
  <Application>Microsoft Office Word</Application>
  <DocSecurity>0</DocSecurity>
  <Lines>66</Lines>
  <Paragraphs>18</Paragraphs>
  <ScaleCrop>false</ScaleCrop>
  <Company/>
  <LinksUpToDate>false</LinksUpToDate>
  <CharactersWithSpaces>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2017-10-04T03:52:00Z</dcterms:created>
  <dcterms:modified xsi:type="dcterms:W3CDTF">2017-10-04T03:53:00Z</dcterms:modified>
</cp:coreProperties>
</file>