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0" w:rsidRPr="000E785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E7859">
        <w:t>Муниципальное казённое учреждение</w:t>
      </w:r>
    </w:p>
    <w:p w:rsidR="00460C10" w:rsidRPr="000E785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E7859">
        <w:t>«Муниципальный центр обеспечения и</w:t>
      </w:r>
    </w:p>
    <w:p w:rsidR="00460C10" w:rsidRPr="000E785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E7859">
        <w:t xml:space="preserve">развития образования </w:t>
      </w:r>
    </w:p>
    <w:p w:rsidR="00460C10" w:rsidRPr="000E785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E7859">
        <w:t>Новоорского района Оренбургской области»</w:t>
      </w:r>
    </w:p>
    <w:p w:rsidR="00460C10" w:rsidRPr="000E785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E7859">
        <w:t>Ресурсно-методический кабинет</w:t>
      </w:r>
    </w:p>
    <w:p w:rsidR="00460C10" w:rsidRPr="000E7859" w:rsidRDefault="00460C10" w:rsidP="00460C10">
      <w:pPr>
        <w:pStyle w:val="a6"/>
        <w:tabs>
          <w:tab w:val="clear" w:pos="4677"/>
          <w:tab w:val="clear" w:pos="9355"/>
        </w:tabs>
        <w:jc w:val="both"/>
      </w:pPr>
      <w:r w:rsidRPr="000E7859">
        <w:t>«</w:t>
      </w:r>
      <w:r>
        <w:t>13</w:t>
      </w:r>
      <w:r w:rsidRPr="000E7859">
        <w:t xml:space="preserve">» </w:t>
      </w:r>
      <w:r>
        <w:rPr>
          <w:u w:val="single"/>
        </w:rPr>
        <w:t>февраля</w:t>
      </w:r>
      <w:r>
        <w:t xml:space="preserve"> 2017 г. </w:t>
      </w:r>
      <w:r w:rsidRPr="000E7859">
        <w:t xml:space="preserve">№ </w:t>
      </w:r>
      <w:r w:rsidR="00E032F1">
        <w:t>2</w:t>
      </w:r>
    </w:p>
    <w:p w:rsidR="00ED4E54" w:rsidRDefault="00ED4E54" w:rsidP="00ED4E54">
      <w:pPr>
        <w:spacing w:after="0" w:line="10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4E54" w:rsidRPr="00F35744" w:rsidRDefault="00ED4E54" w:rsidP="005548FE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Аналитическая</w:t>
      </w:r>
      <w:r w:rsidR="00933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ED4E54" w:rsidRPr="00F35744" w:rsidRDefault="00A766F9" w:rsidP="005548F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933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результатах</w:t>
      </w:r>
      <w:r w:rsidR="00933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проведения</w:t>
      </w:r>
      <w:r w:rsidR="00ED4E54" w:rsidRPr="00F3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пробного  экзамена </w:t>
      </w:r>
      <w:r w:rsidR="00ED4E54"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</w:t>
      </w:r>
      <w:r w:rsidR="00933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9B1" w:rsidRPr="00F35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</w:t>
      </w:r>
      <w:r w:rsidR="00ED4E54" w:rsidRPr="00F35744">
        <w:rPr>
          <w:rFonts w:ascii="Times New Roman" w:hAnsi="Times New Roman" w:cs="Times New Roman"/>
          <w:b/>
          <w:sz w:val="24"/>
          <w:szCs w:val="24"/>
        </w:rPr>
        <w:t>ии</w:t>
      </w:r>
      <w:r w:rsidR="00933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="00933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79B1" w:rsidRPr="00F35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ED4E54"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классах</w:t>
      </w:r>
      <w:r w:rsidR="009335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Новоорского района</w:t>
      </w:r>
    </w:p>
    <w:p w:rsidR="00ED4E54" w:rsidRPr="00F35744" w:rsidRDefault="00ED4E54" w:rsidP="00F17C3C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4E54" w:rsidRPr="00F35744" w:rsidRDefault="001B2739" w:rsidP="001B2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7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 приказом министерства образования Оренбургской области от 11.08.2016 г. №01-21/2094 «О реализации региональной системы оценки качества образования в 2016-2017 учебном году», письмом ГБУ РЦРО от 26.01.2017 №01-08/80 «О графике проведения тренировочных ЕГЭ и ОГЭ предметов по выбору», приказом отдела образования администрации Новоорского района от 06.02.2017 №43 «О проведении тренировочных ЕГЭ и ОГЭ предметов по выбору»</w:t>
      </w:r>
      <w:r w:rsidR="009335E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D4E54" w:rsidRPr="00F35744">
        <w:rPr>
          <w:rFonts w:ascii="Times New Roman" w:eastAsia="Calibri" w:hAnsi="Times New Roman" w:cs="Times New Roman"/>
          <w:sz w:val="24"/>
          <w:szCs w:val="24"/>
        </w:rPr>
        <w:t>были</w:t>
      </w:r>
      <w:proofErr w:type="gramEnd"/>
      <w:r w:rsidR="00933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проведены пробные экзамены для обучающихся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9,11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классов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использованием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единых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контрольно-измерительных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4E54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материалов.</w:t>
      </w:r>
    </w:p>
    <w:p w:rsidR="00ED4E54" w:rsidRPr="00F35744" w:rsidRDefault="00ED4E54" w:rsidP="004D678E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объективная оценка уровня освоения </w:t>
      </w:r>
      <w:proofErr w:type="gramStart"/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F17C3C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предметного содержания курса </w:t>
      </w:r>
      <w:r w:rsidR="00F17C3C"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хими</w:t>
      </w:r>
      <w:r w:rsidRPr="00F357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ED4E54" w:rsidRPr="00F35744" w:rsidRDefault="00ED4E54" w:rsidP="004D678E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Срокипроведения</w:t>
      </w:r>
      <w:proofErr w:type="spellEnd"/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0C10" w:rsidRPr="00F3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13.02.2017</w:t>
      </w:r>
      <w:r w:rsidRPr="00F3574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D4E54" w:rsidRPr="00F35744" w:rsidRDefault="00ED4E54" w:rsidP="004D678E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5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комиссии: учителя </w:t>
      </w:r>
      <w:r w:rsidR="005548FE" w:rsidRPr="00F35744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F35744">
        <w:rPr>
          <w:rFonts w:ascii="Times New Roman" w:eastAsia="Times New Roman" w:hAnsi="Times New Roman" w:cs="Times New Roman"/>
          <w:color w:val="000000"/>
          <w:sz w:val="24"/>
          <w:szCs w:val="24"/>
        </w:rPr>
        <w:t>ии Новоорского района первой и высшей квалификационных категорий.</w:t>
      </w:r>
    </w:p>
    <w:p w:rsidR="0037076C" w:rsidRPr="00F35744" w:rsidRDefault="00ED4E54" w:rsidP="004D6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744">
        <w:rPr>
          <w:rFonts w:ascii="Times New Roman" w:hAnsi="Times New Roman" w:cs="Times New Roman"/>
          <w:sz w:val="24"/>
          <w:szCs w:val="24"/>
        </w:rPr>
        <w:t>Экзамен по</w:t>
      </w:r>
      <w:r w:rsidR="005548FE" w:rsidRPr="00F35744">
        <w:rPr>
          <w:rFonts w:ascii="Times New Roman" w:hAnsi="Times New Roman" w:cs="Times New Roman"/>
          <w:sz w:val="24"/>
          <w:szCs w:val="24"/>
        </w:rPr>
        <w:t xml:space="preserve"> химии </w:t>
      </w:r>
      <w:r w:rsidR="00F35744">
        <w:rPr>
          <w:rFonts w:ascii="Times New Roman" w:hAnsi="Times New Roman" w:cs="Times New Roman"/>
          <w:sz w:val="24"/>
          <w:szCs w:val="24"/>
        </w:rPr>
        <w:t>писали 16</w:t>
      </w:r>
      <w:r w:rsidR="009335E4">
        <w:rPr>
          <w:rFonts w:ascii="Times New Roman" w:hAnsi="Times New Roman" w:cs="Times New Roman"/>
          <w:sz w:val="24"/>
          <w:szCs w:val="24"/>
        </w:rPr>
        <w:t xml:space="preserve"> </w:t>
      </w:r>
      <w:r w:rsidR="00F35744">
        <w:rPr>
          <w:rFonts w:ascii="Times New Roman" w:hAnsi="Times New Roman" w:cs="Times New Roman"/>
          <w:sz w:val="24"/>
          <w:szCs w:val="24"/>
        </w:rPr>
        <w:t>обучающихся</w:t>
      </w:r>
      <w:r w:rsidR="009335E4">
        <w:rPr>
          <w:rFonts w:ascii="Times New Roman" w:hAnsi="Times New Roman" w:cs="Times New Roman"/>
          <w:sz w:val="24"/>
          <w:szCs w:val="24"/>
        </w:rPr>
        <w:t xml:space="preserve"> </w:t>
      </w:r>
      <w:r w:rsidR="00F35744">
        <w:rPr>
          <w:rFonts w:ascii="Times New Roman" w:hAnsi="Times New Roman" w:cs="Times New Roman"/>
          <w:sz w:val="24"/>
          <w:szCs w:val="24"/>
        </w:rPr>
        <w:t>11-х классов из 9</w:t>
      </w:r>
      <w:r w:rsidR="00E379B1" w:rsidRPr="00F3574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</w:t>
      </w:r>
      <w:r w:rsidR="00F35744">
        <w:rPr>
          <w:rFonts w:ascii="Times New Roman" w:hAnsi="Times New Roman" w:cs="Times New Roman"/>
          <w:sz w:val="24"/>
          <w:szCs w:val="24"/>
        </w:rPr>
        <w:t>заций района, что составило 14,3</w:t>
      </w:r>
      <w:r w:rsidR="00E379B1" w:rsidRPr="00F35744">
        <w:rPr>
          <w:rFonts w:ascii="Times New Roman" w:hAnsi="Times New Roman" w:cs="Times New Roman"/>
          <w:sz w:val="24"/>
          <w:szCs w:val="24"/>
        </w:rPr>
        <w:t xml:space="preserve">% от общего количества участников. 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итогам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пробного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574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кзамена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3574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933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9B1" w:rsidRPr="00F35744">
        <w:rPr>
          <w:rFonts w:ascii="Times New Roman" w:hAnsi="Times New Roman" w:cs="Times New Roman"/>
          <w:sz w:val="24"/>
          <w:szCs w:val="24"/>
        </w:rPr>
        <w:t>хи</w:t>
      </w:r>
      <w:r w:rsidR="00F35744">
        <w:rPr>
          <w:rFonts w:ascii="Times New Roman" w:hAnsi="Times New Roman" w:cs="Times New Roman"/>
          <w:sz w:val="24"/>
          <w:szCs w:val="24"/>
        </w:rPr>
        <w:t>мии   успеваемость составила 100</w:t>
      </w:r>
      <w:r w:rsidR="00E379B1" w:rsidRPr="00F35744">
        <w:rPr>
          <w:rFonts w:ascii="Times New Roman" w:hAnsi="Times New Roman" w:cs="Times New Roman"/>
          <w:sz w:val="24"/>
          <w:szCs w:val="24"/>
        </w:rPr>
        <w:t>%.</w:t>
      </w:r>
      <w:r w:rsidR="004D678E">
        <w:rPr>
          <w:rFonts w:ascii="Times New Roman" w:hAnsi="Times New Roman" w:cs="Times New Roman"/>
          <w:sz w:val="24"/>
          <w:szCs w:val="24"/>
        </w:rPr>
        <w:t xml:space="preserve"> </w:t>
      </w:r>
      <w:r w:rsidR="00F17C3C" w:rsidRPr="00F35744">
        <w:rPr>
          <w:rFonts w:ascii="Times New Roman" w:hAnsi="Times New Roman" w:cs="Times New Roman"/>
          <w:sz w:val="24"/>
          <w:szCs w:val="24"/>
        </w:rPr>
        <w:t>Э</w:t>
      </w:r>
      <w:r w:rsidR="00706CC1" w:rsidRPr="00F35744">
        <w:rPr>
          <w:rFonts w:ascii="Times New Roman" w:hAnsi="Times New Roman" w:cs="Times New Roman"/>
          <w:sz w:val="24"/>
          <w:szCs w:val="24"/>
        </w:rPr>
        <w:t>кзамен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  проводилась в форме письменной работы в соответствии с Методическими рекомендациями о проведении государственной итоговой аттестации по образовательным программ</w:t>
      </w:r>
      <w:r w:rsidR="00E379B1" w:rsidRPr="00F35744">
        <w:rPr>
          <w:rFonts w:ascii="Times New Roman" w:hAnsi="Times New Roman" w:cs="Times New Roman"/>
          <w:sz w:val="24"/>
          <w:szCs w:val="24"/>
        </w:rPr>
        <w:t xml:space="preserve">ам  общего образования по </w:t>
      </w:r>
      <w:proofErr w:type="spellStart"/>
      <w:r w:rsidR="00E379B1" w:rsidRPr="00F35744"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 w:rsidR="00E379B1" w:rsidRPr="00F35744">
        <w:rPr>
          <w:rFonts w:ascii="Times New Roman" w:hAnsi="Times New Roman" w:cs="Times New Roman"/>
          <w:sz w:val="24"/>
          <w:szCs w:val="24"/>
        </w:rPr>
        <w:t>.</w:t>
      </w:r>
      <w:r w:rsidR="0037076C" w:rsidRPr="00F357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076C" w:rsidRPr="00F35744">
        <w:rPr>
          <w:rFonts w:ascii="Times New Roman" w:hAnsi="Times New Roman" w:cs="Times New Roman"/>
          <w:sz w:val="24"/>
          <w:szCs w:val="24"/>
        </w:rPr>
        <w:t>бщая</w:t>
      </w:r>
      <w:proofErr w:type="spellEnd"/>
      <w:r w:rsidR="0037076C" w:rsidRPr="00F35744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F17C3C" w:rsidRPr="00F35744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по химии– 3,5 часа (210 минут). Перед началом </w:t>
      </w:r>
      <w:r w:rsidR="00F17C3C" w:rsidRPr="00F35744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все обучающиеся прошли подробный инструктаж по </w:t>
      </w:r>
      <w:r w:rsidR="00F17C3C" w:rsidRPr="00F35744">
        <w:rPr>
          <w:rFonts w:ascii="Times New Roman" w:hAnsi="Times New Roman" w:cs="Times New Roman"/>
          <w:sz w:val="24"/>
          <w:szCs w:val="24"/>
        </w:rPr>
        <w:t>его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548FE" w:rsidRPr="00F35744">
        <w:rPr>
          <w:rFonts w:ascii="Times New Roman" w:hAnsi="Times New Roman" w:cs="Times New Roman"/>
          <w:sz w:val="24"/>
          <w:szCs w:val="24"/>
        </w:rPr>
        <w:t>ю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. Участникам </w:t>
      </w:r>
      <w:r w:rsidR="00F17C3C" w:rsidRPr="00F35744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по химии  разрешено </w:t>
      </w:r>
      <w:r w:rsidR="00F17C3C" w:rsidRPr="00F35744">
        <w:rPr>
          <w:rFonts w:ascii="Times New Roman" w:hAnsi="Times New Roman" w:cs="Times New Roman"/>
          <w:sz w:val="24"/>
          <w:szCs w:val="24"/>
        </w:rPr>
        <w:t xml:space="preserve">было </w:t>
      </w:r>
      <w:r w:rsidR="0037076C" w:rsidRPr="00F35744">
        <w:rPr>
          <w:rFonts w:ascii="Times New Roman" w:hAnsi="Times New Roman" w:cs="Times New Roman"/>
          <w:sz w:val="24"/>
          <w:szCs w:val="24"/>
        </w:rPr>
        <w:t xml:space="preserve">пользоваться Периодической системы химических элементов Д.И. Менделеева, электрохимическим рядом напряжений металлов, таблицей растворимости солей, кислот, оснований в воде. </w:t>
      </w:r>
    </w:p>
    <w:p w:rsidR="004E355C" w:rsidRDefault="004E355C" w:rsidP="004D678E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DF6635">
        <w:rPr>
          <w:color w:val="000000"/>
        </w:rPr>
        <w:t xml:space="preserve">Результаты </w:t>
      </w:r>
      <w:r w:rsidR="00DA67D1">
        <w:rPr>
          <w:color w:val="000000"/>
        </w:rPr>
        <w:t>пробного</w:t>
      </w:r>
      <w:r w:rsidRPr="00DF6635">
        <w:rPr>
          <w:bCs/>
          <w:color w:val="000000"/>
          <w:sz w:val="22"/>
          <w:szCs w:val="22"/>
          <w:shd w:val="clear" w:color="auto" w:fill="FFFFFF"/>
        </w:rPr>
        <w:t xml:space="preserve"> экзамена</w:t>
      </w:r>
    </w:p>
    <w:p w:rsidR="004E355C" w:rsidRDefault="004E355C" w:rsidP="004E355C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DF6635">
        <w:rPr>
          <w:bCs/>
          <w:color w:val="000000"/>
          <w:sz w:val="22"/>
          <w:szCs w:val="22"/>
          <w:shd w:val="clear" w:color="auto" w:fill="FFFFFF"/>
        </w:rPr>
        <w:t xml:space="preserve">по химии обучающихся 11-х классов </w:t>
      </w:r>
      <w:r>
        <w:rPr>
          <w:bCs/>
          <w:color w:val="000000"/>
          <w:sz w:val="22"/>
          <w:szCs w:val="22"/>
          <w:shd w:val="clear" w:color="auto" w:fill="FFFFFF"/>
        </w:rPr>
        <w:t>Новоорского района</w:t>
      </w:r>
    </w:p>
    <w:p w:rsidR="004E355C" w:rsidRDefault="004E355C" w:rsidP="004E355C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90"/>
        <w:gridCol w:w="890"/>
        <w:gridCol w:w="943"/>
        <w:gridCol w:w="856"/>
        <w:gridCol w:w="943"/>
        <w:gridCol w:w="996"/>
        <w:gridCol w:w="1064"/>
        <w:gridCol w:w="662"/>
        <w:gridCol w:w="890"/>
      </w:tblGrid>
      <w:tr w:rsidR="00DA67D1" w:rsidRPr="00144299" w:rsidTr="00A766F9"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№1 п. Новоорск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№2 п. Новоорск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№2 п.</w:t>
            </w:r>
            <w:r w:rsidR="00756D9A">
              <w:rPr>
                <w:color w:val="000000"/>
              </w:rPr>
              <w:t xml:space="preserve"> </w:t>
            </w:r>
            <w:r w:rsidRPr="00144299">
              <w:rPr>
                <w:color w:val="000000"/>
              </w:rPr>
              <w:t>Энергетик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 xml:space="preserve">СОШ </w:t>
            </w:r>
            <w:proofErr w:type="gramStart"/>
            <w:r w:rsidRPr="00144299">
              <w:rPr>
                <w:color w:val="000000"/>
              </w:rPr>
              <w:t>с</w:t>
            </w:r>
            <w:proofErr w:type="gramEnd"/>
            <w:r w:rsidRPr="00144299">
              <w:rPr>
                <w:color w:val="000000"/>
              </w:rPr>
              <w:t>. Чапаевка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№1 п. Энергетик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п. Гранитный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Первый Новоорский Лицей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с. Кумак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СОШ №4 п. Новоорск</w:t>
            </w:r>
          </w:p>
        </w:tc>
      </w:tr>
      <w:tr w:rsidR="00DA67D1" w:rsidRPr="00144299" w:rsidTr="00A766F9"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Средний балл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40,3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DA67D1" w:rsidRPr="00144299" w:rsidRDefault="00DA67D1" w:rsidP="00A766F9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44299">
              <w:rPr>
                <w:color w:val="000000"/>
              </w:rPr>
              <w:t>38</w:t>
            </w:r>
          </w:p>
        </w:tc>
      </w:tr>
    </w:tbl>
    <w:p w:rsidR="00DA67D1" w:rsidRDefault="00DA67D1" w:rsidP="002B10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4E355C" w:rsidRPr="002B10E7" w:rsidRDefault="004E355C" w:rsidP="002B10E7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Рассмотрим более подробно рейтинговый ряд по положительным результатам контрольной работы. Высокий показатель среднего балла показывают следующие </w:t>
      </w:r>
      <w:r>
        <w:rPr>
          <w:color w:val="000000"/>
          <w:shd w:val="clear" w:color="auto" w:fill="FFFFFF"/>
        </w:rPr>
        <w:lastRenderedPageBreak/>
        <w:t>общеобразовательные организации района: СОШ №2 п. Энергетик (46) и СОШ п. Гранитный (46), СОШ №1 п. Новоорск</w:t>
      </w:r>
      <w:r w:rsidR="00E032F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(40,3), СОШ №4 п. Новоорск (38)</w:t>
      </w:r>
      <w:r w:rsidR="00DA67D1">
        <w:rPr>
          <w:color w:val="000000"/>
          <w:shd w:val="clear" w:color="auto" w:fill="FFFFFF"/>
        </w:rPr>
        <w:t>,</w:t>
      </w:r>
      <w:r w:rsidR="00953E06">
        <w:rPr>
          <w:color w:val="000000"/>
          <w:shd w:val="clear" w:color="auto" w:fill="FFFFFF"/>
        </w:rPr>
        <w:t xml:space="preserve"> </w:t>
      </w:r>
      <w:r w:rsidR="00DA67D1">
        <w:rPr>
          <w:color w:val="000000"/>
          <w:shd w:val="clear" w:color="auto" w:fill="FFFFFF"/>
        </w:rPr>
        <w:t xml:space="preserve">СОШ </w:t>
      </w:r>
      <w:proofErr w:type="gramStart"/>
      <w:r w:rsidR="00DA67D1">
        <w:rPr>
          <w:color w:val="000000"/>
          <w:shd w:val="clear" w:color="auto" w:fill="FFFFFF"/>
        </w:rPr>
        <w:t>с</w:t>
      </w:r>
      <w:proofErr w:type="gramEnd"/>
      <w:r w:rsidR="00DA67D1">
        <w:rPr>
          <w:color w:val="000000"/>
          <w:shd w:val="clear" w:color="auto" w:fill="FFFFFF"/>
        </w:rPr>
        <w:t>. Чапаевка (36)</w:t>
      </w:r>
      <w:r>
        <w:rPr>
          <w:color w:val="000000"/>
          <w:shd w:val="clear" w:color="auto" w:fill="FFFFFF"/>
        </w:rPr>
        <w:t xml:space="preserve">. Средний балл по </w:t>
      </w:r>
      <w:proofErr w:type="spellStart"/>
      <w:r>
        <w:rPr>
          <w:color w:val="000000"/>
          <w:shd w:val="clear" w:color="auto" w:fill="FFFFFF"/>
        </w:rPr>
        <w:t>Новоорскому</w:t>
      </w:r>
      <w:proofErr w:type="spellEnd"/>
      <w:r>
        <w:rPr>
          <w:color w:val="000000"/>
          <w:shd w:val="clear" w:color="auto" w:fill="FFFFFF"/>
        </w:rPr>
        <w:t xml:space="preserve"> району – 35,9.</w:t>
      </w:r>
      <w:r w:rsidR="00DA67D1">
        <w:rPr>
          <w:color w:val="000000"/>
          <w:shd w:val="clear" w:color="auto" w:fill="FFFFFF"/>
        </w:rPr>
        <w:t xml:space="preserve"> Ниже среднего балла  - СОШ с. Кумак</w:t>
      </w:r>
      <w:r w:rsidR="00E032F1">
        <w:rPr>
          <w:color w:val="000000"/>
          <w:shd w:val="clear" w:color="auto" w:fill="FFFFFF"/>
        </w:rPr>
        <w:t xml:space="preserve"> </w:t>
      </w:r>
      <w:r w:rsidR="00DA67D1">
        <w:rPr>
          <w:color w:val="000000"/>
          <w:shd w:val="clear" w:color="auto" w:fill="FFFFFF"/>
        </w:rPr>
        <w:t>(33), СОШ №2 п. Новоорск (27) и СОШ №1 п.</w:t>
      </w:r>
      <w:r w:rsidR="000421C6">
        <w:rPr>
          <w:color w:val="000000"/>
          <w:shd w:val="clear" w:color="auto" w:fill="FFFFFF"/>
        </w:rPr>
        <w:t xml:space="preserve"> </w:t>
      </w:r>
      <w:r w:rsidR="00DA67D1">
        <w:rPr>
          <w:color w:val="000000"/>
          <w:shd w:val="clear" w:color="auto" w:fill="FFFFFF"/>
        </w:rPr>
        <w:t xml:space="preserve">Энергетик (27). </w:t>
      </w:r>
    </w:p>
    <w:p w:rsidR="004E355C" w:rsidRDefault="00E032F1" w:rsidP="004E355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4E355C">
        <w:rPr>
          <w:color w:val="000000"/>
        </w:rPr>
        <w:t>Анализируя результаты контрольной работы, можно отметить, что выпускники Новоорского района преодолели  минимальный порог.</w:t>
      </w:r>
    </w:p>
    <w:p w:rsidR="004E355C" w:rsidRPr="0028209C" w:rsidRDefault="004E355C" w:rsidP="004E355C">
      <w:pPr>
        <w:jc w:val="right"/>
        <w:rPr>
          <w:i/>
        </w:rPr>
      </w:pPr>
    </w:p>
    <w:p w:rsidR="004E355C" w:rsidRPr="0028209C" w:rsidRDefault="004E355C" w:rsidP="004E355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209C">
        <w:rPr>
          <w:color w:val="000000"/>
        </w:rPr>
        <w:t>Результаты выполнения отдельных заданий по элементам содержания</w:t>
      </w:r>
      <w:r>
        <w:rPr>
          <w:color w:val="000000"/>
        </w:rPr>
        <w:t xml:space="preserve"> </w:t>
      </w:r>
      <w:r w:rsidRPr="0028209C">
        <w:rPr>
          <w:color w:val="000000"/>
        </w:rPr>
        <w:t xml:space="preserve"> </w:t>
      </w:r>
    </w:p>
    <w:p w:rsidR="004E355C" w:rsidRPr="007D55B2" w:rsidRDefault="004E355C" w:rsidP="004E355C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1647"/>
      </w:tblGrid>
      <w:tr w:rsidR="004E355C" w:rsidRPr="007C44B2" w:rsidTr="00A766F9">
        <w:trPr>
          <w:jc w:val="center"/>
        </w:trPr>
        <w:tc>
          <w:tcPr>
            <w:tcW w:w="900" w:type="dxa"/>
          </w:tcPr>
          <w:p w:rsidR="004E355C" w:rsidRPr="007C44B2" w:rsidRDefault="004E355C" w:rsidP="00A766F9">
            <w:pPr>
              <w:pStyle w:val="western"/>
              <w:spacing w:line="150" w:lineRule="atLeast"/>
              <w:jc w:val="center"/>
              <w:rPr>
                <w:color w:val="000000"/>
              </w:rPr>
            </w:pPr>
            <w:r w:rsidRPr="007C44B2">
              <w:rPr>
                <w:color w:val="000000"/>
              </w:rPr>
              <w:t>№</w:t>
            </w:r>
          </w:p>
        </w:tc>
        <w:tc>
          <w:tcPr>
            <w:tcW w:w="6840" w:type="dxa"/>
            <w:vAlign w:val="center"/>
          </w:tcPr>
          <w:p w:rsidR="004E355C" w:rsidRPr="007C44B2" w:rsidRDefault="004E355C" w:rsidP="00A766F9">
            <w:pPr>
              <w:pStyle w:val="western"/>
              <w:spacing w:line="150" w:lineRule="atLeast"/>
              <w:jc w:val="center"/>
              <w:rPr>
                <w:color w:val="000000"/>
              </w:rPr>
            </w:pPr>
            <w:r w:rsidRPr="007C44B2">
              <w:rPr>
                <w:b/>
                <w:bCs/>
                <w:color w:val="000000"/>
              </w:rPr>
              <w:t>Содержательный элемент</w:t>
            </w:r>
          </w:p>
        </w:tc>
        <w:tc>
          <w:tcPr>
            <w:tcW w:w="1647" w:type="dxa"/>
            <w:vAlign w:val="center"/>
          </w:tcPr>
          <w:p w:rsidR="004E355C" w:rsidRPr="007C44B2" w:rsidRDefault="004E355C" w:rsidP="00A766F9">
            <w:pPr>
              <w:pStyle w:val="western"/>
              <w:spacing w:line="150" w:lineRule="atLeast"/>
              <w:jc w:val="center"/>
              <w:rPr>
                <w:color w:val="000000"/>
              </w:rPr>
            </w:pPr>
            <w:r w:rsidRPr="007C44B2">
              <w:rPr>
                <w:b/>
                <w:bCs/>
                <w:color w:val="000000"/>
              </w:rPr>
              <w:t>% выполнения</w:t>
            </w:r>
          </w:p>
        </w:tc>
      </w:tr>
      <w:tr w:rsidR="004E355C" w:rsidRPr="007C44B2" w:rsidTr="00A766F9">
        <w:trPr>
          <w:jc w:val="center"/>
        </w:trPr>
        <w:tc>
          <w:tcPr>
            <w:tcW w:w="900" w:type="dxa"/>
          </w:tcPr>
          <w:p w:rsidR="004E355C" w:rsidRPr="007C44B2" w:rsidRDefault="004E355C" w:rsidP="00A766F9">
            <w:pPr>
              <w:pStyle w:val="western"/>
              <w:spacing w:line="150" w:lineRule="atLeast"/>
              <w:rPr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4E355C" w:rsidRPr="007C44B2" w:rsidRDefault="004E355C" w:rsidP="00A766F9">
            <w:pPr>
              <w:pStyle w:val="western"/>
              <w:spacing w:line="150" w:lineRule="atLeast"/>
              <w:jc w:val="center"/>
              <w:rPr>
                <w:b/>
                <w:bCs/>
                <w:color w:val="000000"/>
              </w:rPr>
            </w:pPr>
            <w:r w:rsidRPr="007C44B2">
              <w:rPr>
                <w:b/>
                <w:bCs/>
                <w:color w:val="000000"/>
              </w:rPr>
              <w:t>Часть</w:t>
            </w:r>
            <w:proofErr w:type="gramStart"/>
            <w:r w:rsidRPr="007C44B2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647" w:type="dxa"/>
            <w:vAlign w:val="center"/>
          </w:tcPr>
          <w:p w:rsidR="004E355C" w:rsidRPr="007C44B2" w:rsidRDefault="004E355C" w:rsidP="00A766F9">
            <w:pPr>
              <w:pStyle w:val="western"/>
              <w:spacing w:line="150" w:lineRule="atLeast"/>
              <w:rPr>
                <w:b/>
                <w:bCs/>
                <w:color w:val="000000"/>
              </w:rPr>
            </w:pP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элементов первых четырех периодов: s-, p- и d- элементы. Электронная конфигурация атома. Основное 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и возбужденное состояние атомов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химических свойств элементов и их соединений по периодам и группам Общая характеристика металлов I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–VIIА групп в связи с их положением в Периодической системе химических элементов Д.И. Менделеева и о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собенностями строения их атомов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Номенклатура неорганических вещест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в (тривиальная и международная)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металлов: щелочных,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щелочноземельных, алюминия; переходных металлов: меди, цинка, хрома, железа.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неметаллов: водорода, галогенов, кислорода, серы, аз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ота, фосфора, углерода, кремния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óвных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амфотерных, кислотных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</w:t>
            </w:r>
            <w:proofErr w:type="spellStart"/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óвных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, комплексных (на примере соединений алюминия и цинка).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электролитов в водных растворах. Сильные и слабые электролиты. </w:t>
            </w:r>
          </w:p>
          <w:p w:rsidR="004E355C" w:rsidRPr="00E032F1" w:rsidRDefault="00EA3BF2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Взаимосвязь неорганических веществ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="00EA3BF2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="00EA3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A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A3B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неорганических веществ: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 простых веществ-металлов: щелочных, щелочно-земельных, алюминия, переходных металлов (меди, цинка, хрома, железа);</w:t>
            </w:r>
            <w:proofErr w:type="gramEnd"/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 простых веществ – неметаллов: водорода, галогенов, кислорода, серы, азота, фосфора, углерода, кремния;</w:t>
            </w:r>
            <w:proofErr w:type="gramEnd"/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 оксидов: основных, амфотерных, кислотных;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 оснований и амфотерных гидроксидов;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 кислот;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 солей: средних, кислых основных; комплексных (на примере соединений алюминия и цинка)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вещест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в (тривиальная и международная)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Типы связей в молекулах органических веществ. Гибридизация 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Радикал. Функциональная группа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 (бензола и толуола).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я углеводородов (в лаборатории)</w:t>
            </w: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альдегидов, предельных карбоновых кислот, сложных эфиров.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кислородсодерж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ащих соединений (в лаборатории)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углеводы (моносахариды, д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исахариды, полисахариды), белки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 и кислородсод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ержащих органических соединений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, ароматических углеводородов (бензола и толуола). Ионный (правило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В.В.Марковникова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) и радикальный механизмы реакций в органической химии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56.25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фенола, альдегидов, предельных ка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рбоновых кислот, сложных эфиров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68.75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ганической и органической химии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Скорость реакции, ее зависимость от различных факторов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творов (солей, щелочей, кислот)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солей.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: кислая, нейтральная, щелочная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Смещение равновесия под действием различных факторов 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неорганические вещества и ионы. Качественные 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реакции органических соединений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Лабораторная посуда и оборудование.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едкими, горючими и токсичными веществами,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средствами бытовой химии. Научные методы исследования химических веществ и превращений. Методы разделения смесей и очистки веществ.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металлургии: общие способы получения металлов.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Общие научные принципы химического производства (на примере промышленного получения аммиака, серной кислоты, метанола).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последствия. 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«массовая доля вещества в растворе»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68.75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Расчеты объемных отношений газов при химических реакциях. Расчет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ы по термохимическим уравнениям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з участвующих в реакции веществ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подтверждающие взаимосвязь органических соединений 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</w:t>
            </w:r>
          </w:p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Расчеты массовой доли (массы) химического соединения в смеси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4E355C" w:rsidRPr="00E032F1" w:rsidTr="00A766F9">
        <w:trPr>
          <w:jc w:val="center"/>
        </w:trPr>
        <w:tc>
          <w:tcPr>
            <w:tcW w:w="900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4E355C" w:rsidRPr="00E032F1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молекулярной и структурной формулы вещества </w:t>
            </w:r>
          </w:p>
        </w:tc>
        <w:tc>
          <w:tcPr>
            <w:tcW w:w="1647" w:type="dxa"/>
          </w:tcPr>
          <w:p w:rsidR="004E355C" w:rsidRPr="00E032F1" w:rsidRDefault="004E355C" w:rsidP="00E032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1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</w:tbl>
    <w:p w:rsidR="004E355C" w:rsidRDefault="004E355C" w:rsidP="004E355C">
      <w:pPr>
        <w:rPr>
          <w:color w:val="000000"/>
          <w:shd w:val="clear" w:color="auto" w:fill="FFFFFF"/>
        </w:rPr>
      </w:pPr>
    </w:p>
    <w:p w:rsidR="00637768" w:rsidRPr="00EA3BF2" w:rsidRDefault="00637768" w:rsidP="00EA3BF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Диаграмма 1</w:t>
      </w:r>
    </w:p>
    <w:p w:rsidR="00637768" w:rsidRDefault="00637768" w:rsidP="004E355C">
      <w:pPr>
        <w:jc w:val="center"/>
        <w:rPr>
          <w:b/>
          <w:color w:val="000000"/>
          <w:shd w:val="clear" w:color="auto" w:fill="FFFFFF"/>
        </w:rPr>
      </w:pPr>
    </w:p>
    <w:p w:rsidR="004E355C" w:rsidRPr="00EA3BF2" w:rsidRDefault="004E355C" w:rsidP="004E3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  выполнения заданий</w:t>
      </w:r>
      <w:r w:rsidR="002B10E7"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части 1 (</w:t>
      </w:r>
      <w:r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2B10E7"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29</w:t>
      </w:r>
      <w:r w:rsidR="002B10E7"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4E355C" w:rsidRDefault="004E355C" w:rsidP="004E355C">
      <w:pPr>
        <w:jc w:val="center"/>
      </w:pPr>
      <w:r>
        <w:rPr>
          <w:noProof/>
        </w:rPr>
        <w:drawing>
          <wp:inline distT="0" distB="0" distL="0" distR="0">
            <wp:extent cx="58674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6960" w:rsidRDefault="00776960" w:rsidP="004E355C">
      <w:pPr>
        <w:jc w:val="center"/>
        <w:rPr>
          <w:b/>
        </w:rPr>
      </w:pPr>
    </w:p>
    <w:p w:rsidR="00637768" w:rsidRDefault="00637768" w:rsidP="004E355C">
      <w:pPr>
        <w:jc w:val="center"/>
        <w:rPr>
          <w:b/>
        </w:rPr>
      </w:pPr>
    </w:p>
    <w:p w:rsidR="00637768" w:rsidRDefault="00637768" w:rsidP="004E355C">
      <w:pPr>
        <w:jc w:val="center"/>
        <w:rPr>
          <w:b/>
        </w:rPr>
      </w:pPr>
    </w:p>
    <w:p w:rsidR="00637768" w:rsidRPr="00EA3BF2" w:rsidRDefault="00637768" w:rsidP="00EA3BF2">
      <w:pPr>
        <w:jc w:val="right"/>
        <w:rPr>
          <w:rFonts w:ascii="Times New Roman" w:hAnsi="Times New Roman" w:cs="Times New Roman"/>
          <w:sz w:val="24"/>
          <w:szCs w:val="24"/>
        </w:rPr>
      </w:pPr>
      <w:r w:rsidRPr="00EA3BF2">
        <w:rPr>
          <w:rFonts w:ascii="Times New Roman" w:hAnsi="Times New Roman" w:cs="Times New Roman"/>
          <w:sz w:val="24"/>
          <w:szCs w:val="24"/>
        </w:rPr>
        <w:t>Диаграмма 2</w:t>
      </w:r>
    </w:p>
    <w:p w:rsidR="00E071B8" w:rsidRDefault="00E071B8" w:rsidP="004E355C">
      <w:pPr>
        <w:jc w:val="center"/>
        <w:rPr>
          <w:b/>
        </w:rPr>
      </w:pPr>
    </w:p>
    <w:p w:rsidR="00776960" w:rsidRPr="00EA3BF2" w:rsidRDefault="00776960" w:rsidP="004E3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F2">
        <w:rPr>
          <w:rFonts w:ascii="Times New Roman" w:hAnsi="Times New Roman" w:cs="Times New Roman"/>
          <w:b/>
          <w:sz w:val="24"/>
          <w:szCs w:val="24"/>
        </w:rPr>
        <w:t>Результат выполнения заданий повышенного уровня сложности</w:t>
      </w:r>
      <w:r w:rsidR="00E071B8" w:rsidRPr="00EA3BF2">
        <w:rPr>
          <w:rFonts w:ascii="Times New Roman" w:hAnsi="Times New Roman" w:cs="Times New Roman"/>
          <w:b/>
          <w:sz w:val="24"/>
          <w:szCs w:val="24"/>
        </w:rPr>
        <w:t xml:space="preserve"> (10,11,18,19,22,23,24,25,26)</w:t>
      </w:r>
    </w:p>
    <w:p w:rsidR="007D032B" w:rsidRDefault="007D032B" w:rsidP="004E355C">
      <w:pPr>
        <w:jc w:val="center"/>
        <w:rPr>
          <w:b/>
        </w:rPr>
      </w:pPr>
    </w:p>
    <w:p w:rsidR="00776960" w:rsidRDefault="007D032B" w:rsidP="004E355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6960" w:rsidRDefault="00776960" w:rsidP="004E355C">
      <w:pPr>
        <w:jc w:val="center"/>
        <w:rPr>
          <w:b/>
        </w:rPr>
      </w:pPr>
    </w:p>
    <w:p w:rsidR="00776960" w:rsidRDefault="00776960" w:rsidP="004E355C">
      <w:pPr>
        <w:jc w:val="center"/>
        <w:rPr>
          <w:b/>
        </w:rPr>
      </w:pPr>
    </w:p>
    <w:p w:rsidR="00776960" w:rsidRPr="00EA3BF2" w:rsidRDefault="00637768" w:rsidP="00637768">
      <w:pPr>
        <w:jc w:val="right"/>
        <w:rPr>
          <w:rFonts w:ascii="Times New Roman" w:hAnsi="Times New Roman" w:cs="Times New Roman"/>
          <w:sz w:val="24"/>
          <w:szCs w:val="24"/>
        </w:rPr>
      </w:pPr>
      <w:r w:rsidRPr="00EA3BF2">
        <w:rPr>
          <w:rFonts w:ascii="Times New Roman" w:hAnsi="Times New Roman" w:cs="Times New Roman"/>
          <w:sz w:val="24"/>
          <w:szCs w:val="24"/>
        </w:rPr>
        <w:t>Диаграмма 3</w:t>
      </w:r>
    </w:p>
    <w:p w:rsidR="004E355C" w:rsidRPr="00EA3BF2" w:rsidRDefault="004E355C" w:rsidP="004E3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F2">
        <w:rPr>
          <w:rFonts w:ascii="Times New Roman" w:hAnsi="Times New Roman" w:cs="Times New Roman"/>
          <w:b/>
          <w:sz w:val="24"/>
          <w:szCs w:val="24"/>
        </w:rPr>
        <w:t>Результат выполнения заданий</w:t>
      </w:r>
      <w:r w:rsidR="002B10E7" w:rsidRPr="00EA3BF2">
        <w:rPr>
          <w:rFonts w:ascii="Times New Roman" w:hAnsi="Times New Roman" w:cs="Times New Roman"/>
          <w:b/>
          <w:sz w:val="24"/>
          <w:szCs w:val="24"/>
        </w:rPr>
        <w:t xml:space="preserve"> части 2 (</w:t>
      </w:r>
      <w:r w:rsidRPr="00EA3BF2">
        <w:rPr>
          <w:rFonts w:ascii="Times New Roman" w:hAnsi="Times New Roman" w:cs="Times New Roman"/>
          <w:b/>
          <w:sz w:val="24"/>
          <w:szCs w:val="24"/>
        </w:rPr>
        <w:t>30-34</w:t>
      </w:r>
      <w:r w:rsidR="002B10E7" w:rsidRPr="00EA3BF2">
        <w:rPr>
          <w:rFonts w:ascii="Times New Roman" w:hAnsi="Times New Roman" w:cs="Times New Roman"/>
          <w:b/>
          <w:sz w:val="24"/>
          <w:szCs w:val="24"/>
        </w:rPr>
        <w:t>)</w:t>
      </w:r>
    </w:p>
    <w:p w:rsidR="004E355C" w:rsidRPr="00A230FE" w:rsidRDefault="004E355C" w:rsidP="004E355C">
      <w:pPr>
        <w:jc w:val="center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1244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355C" w:rsidRPr="00EA3BF2" w:rsidRDefault="004E355C" w:rsidP="004E35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 выполнения заданий</w:t>
      </w:r>
      <w:r w:rsidR="002B10E7"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части 2 (</w:t>
      </w:r>
      <w:r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30-34</w:t>
      </w:r>
      <w:r w:rsidR="002B10E7" w:rsidRPr="00EA3B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4E355C" w:rsidRDefault="004E355C" w:rsidP="004E355C">
      <w:pPr>
        <w:jc w:val="right"/>
        <w:rPr>
          <w:i/>
          <w:color w:val="000000"/>
          <w:shd w:val="clear" w:color="auto" w:fill="FFFFFF"/>
        </w:rPr>
      </w:pP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800"/>
        <w:gridCol w:w="1800"/>
        <w:gridCol w:w="1800"/>
      </w:tblGrid>
      <w:tr w:rsidR="004E355C" w:rsidRPr="00EA3BF2" w:rsidTr="00A766F9">
        <w:trPr>
          <w:trHeight w:val="420"/>
          <w:jc w:val="center"/>
        </w:trPr>
        <w:tc>
          <w:tcPr>
            <w:tcW w:w="540" w:type="dxa"/>
            <w:vMerge w:val="restart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60" w:type="dxa"/>
            <w:vMerge w:val="restart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Содержательный </w:t>
            </w:r>
          </w:p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</w:t>
            </w:r>
          </w:p>
        </w:tc>
        <w:tc>
          <w:tcPr>
            <w:tcW w:w="5400" w:type="dxa"/>
            <w:gridSpan w:val="3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выполнения</w:t>
            </w:r>
          </w:p>
        </w:tc>
      </w:tr>
      <w:tr w:rsidR="004E355C" w:rsidRPr="00EA3BF2" w:rsidTr="00A766F9">
        <w:trPr>
          <w:trHeight w:val="135"/>
          <w:jc w:val="center"/>
        </w:trPr>
        <w:tc>
          <w:tcPr>
            <w:tcW w:w="540" w:type="dxa"/>
            <w:vMerge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  <w:vMerge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 полностью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Выполнено</w:t>
            </w:r>
          </w:p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</w:p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приступали</w:t>
            </w:r>
          </w:p>
        </w:tc>
      </w:tr>
      <w:tr w:rsidR="004E355C" w:rsidRPr="00EA3BF2" w:rsidTr="00A766F9">
        <w:trPr>
          <w:jc w:val="center"/>
        </w:trPr>
        <w:tc>
          <w:tcPr>
            <w:tcW w:w="54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96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BF2">
              <w:rPr>
                <w:rFonts w:ascii="Times New Roman" w:hAnsi="Times New Roman" w:cs="Times New Roman"/>
                <w:sz w:val="24"/>
                <w:szCs w:val="24"/>
              </w:rPr>
              <w:t>кислительн</w:t>
            </w:r>
            <w:proofErr w:type="gramStart"/>
            <w:r w:rsidR="00EA3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A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A3B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E355C" w:rsidRPr="00EA3BF2" w:rsidTr="00A766F9">
        <w:trPr>
          <w:jc w:val="center"/>
        </w:trPr>
        <w:tc>
          <w:tcPr>
            <w:tcW w:w="54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96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18,75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68,75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</w:tr>
      <w:tr w:rsidR="004E355C" w:rsidRPr="00EA3BF2" w:rsidTr="00A766F9">
        <w:trPr>
          <w:jc w:val="center"/>
        </w:trPr>
        <w:tc>
          <w:tcPr>
            <w:tcW w:w="54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96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Реакции, подтверждающие взаимосвязь органических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</w:tr>
      <w:tr w:rsidR="004E355C" w:rsidRPr="00EA3BF2" w:rsidTr="00A766F9">
        <w:trPr>
          <w:jc w:val="center"/>
        </w:trPr>
        <w:tc>
          <w:tcPr>
            <w:tcW w:w="54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396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</w:t>
            </w:r>
          </w:p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Расчеты массовой доли (массы) химического соединения в смеси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18,75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56,25</w:t>
            </w:r>
          </w:p>
        </w:tc>
      </w:tr>
      <w:tr w:rsidR="004E355C" w:rsidRPr="00EA3BF2" w:rsidTr="00A766F9">
        <w:trPr>
          <w:jc w:val="center"/>
        </w:trPr>
        <w:tc>
          <w:tcPr>
            <w:tcW w:w="54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96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Установление молекулярной и структурной формулы вещества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31,25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31,25</w:t>
            </w:r>
          </w:p>
        </w:tc>
        <w:tc>
          <w:tcPr>
            <w:tcW w:w="1800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</w:tr>
    </w:tbl>
    <w:p w:rsidR="00EA3BF2" w:rsidRDefault="00EA3BF2" w:rsidP="00EA3BF2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55C" w:rsidRPr="00EA3BF2" w:rsidRDefault="00637768" w:rsidP="00EA3BF2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BF2">
        <w:rPr>
          <w:rFonts w:ascii="Times New Roman" w:hAnsi="Times New Roman" w:cs="Times New Roman"/>
          <w:sz w:val="24"/>
          <w:szCs w:val="24"/>
          <w:shd w:val="clear" w:color="auto" w:fill="FFFFFF"/>
        </w:rPr>
        <w:t>Диаграмма 4</w:t>
      </w:r>
    </w:p>
    <w:p w:rsidR="004E355C" w:rsidRPr="00EA3BF2" w:rsidRDefault="004E355C" w:rsidP="00EA3BF2">
      <w:pPr>
        <w:pStyle w:val="a9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766F9" w:rsidRPr="00EA3BF2" w:rsidRDefault="00A766F9" w:rsidP="00EA3BF2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10E7" w:rsidRPr="00EA3BF2" w:rsidRDefault="004E355C" w:rsidP="00EA3BF2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3B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Процент выполнения заданий части 2 (30-34) по баллам</w:t>
      </w:r>
    </w:p>
    <w:p w:rsidR="004E355C" w:rsidRPr="00EA3BF2" w:rsidRDefault="004E355C" w:rsidP="00EA3BF2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10E7" w:rsidRPr="00EA3BF2" w:rsidRDefault="00EA3BF2" w:rsidP="00EA3BF2">
      <w:pPr>
        <w:pStyle w:val="a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8BA9434" wp14:editId="68D45027">
            <wp:extent cx="4686300" cy="2971800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355C" w:rsidRPr="00EA3BF2" w:rsidRDefault="004E355C" w:rsidP="00EA3BF2">
      <w:pPr>
        <w:pStyle w:val="western"/>
        <w:shd w:val="clear" w:color="auto" w:fill="FFFFFF"/>
        <w:spacing w:after="0" w:afterAutospacing="0"/>
        <w:jc w:val="center"/>
      </w:pPr>
      <w:r w:rsidRPr="00A766F9">
        <w:rPr>
          <w:b/>
          <w:color w:val="000000"/>
        </w:rPr>
        <w:t xml:space="preserve">Анализ типичных ошибок, допущенных учащимися </w:t>
      </w:r>
      <w:r w:rsidR="00A766F9" w:rsidRPr="00A766F9">
        <w:rPr>
          <w:b/>
          <w:color w:val="000000"/>
        </w:rPr>
        <w:t>11</w:t>
      </w:r>
      <w:r w:rsidRPr="00A766F9">
        <w:rPr>
          <w:b/>
          <w:color w:val="000000"/>
        </w:rPr>
        <w:t xml:space="preserve"> классов ОО  в контрольной работе</w:t>
      </w:r>
    </w:p>
    <w:p w:rsidR="004E355C" w:rsidRDefault="004E355C" w:rsidP="004E355C">
      <w:pPr>
        <w:rPr>
          <w:i/>
          <w:color w:val="000000"/>
          <w:shd w:val="clear" w:color="auto" w:fill="FFFFFF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752"/>
        <w:gridCol w:w="1610"/>
        <w:gridCol w:w="85"/>
        <w:gridCol w:w="1695"/>
        <w:gridCol w:w="2405"/>
      </w:tblGrid>
      <w:tr w:rsidR="00637768" w:rsidRPr="00EA3BF2" w:rsidTr="00EA3BF2">
        <w:trPr>
          <w:trHeight w:val="420"/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8" w:type="dxa"/>
          </w:tcPr>
          <w:p w:rsidR="004E355C" w:rsidRPr="00EA3BF2" w:rsidRDefault="00637768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Проверяемые элементы содержания</w:t>
            </w:r>
          </w:p>
        </w:tc>
        <w:tc>
          <w:tcPr>
            <w:tcW w:w="1059" w:type="dxa"/>
            <w:gridSpan w:val="2"/>
          </w:tcPr>
          <w:p w:rsidR="004E355C" w:rsidRPr="00EA3BF2" w:rsidRDefault="00637768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допустивших ошибки</w:t>
            </w:r>
          </w:p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637768" w:rsidRPr="00EA3BF2" w:rsidRDefault="004E355C" w:rsidP="00EA3BF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%</w:t>
            </w:r>
          </w:p>
          <w:p w:rsidR="004E355C" w:rsidRPr="00EA3BF2" w:rsidRDefault="00637768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допустивших ошибки</w:t>
            </w:r>
          </w:p>
        </w:tc>
        <w:tc>
          <w:tcPr>
            <w:tcW w:w="2427" w:type="dxa"/>
          </w:tcPr>
          <w:p w:rsidR="004E355C" w:rsidRPr="00EA3BF2" w:rsidRDefault="00637768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Причины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Часть 1</w:t>
            </w: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элементов первых четырех периодов: s-, p- и d-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элементы. Электронная конфигурация атома. Основное и возбужденное состояние атомов. </w:t>
            </w: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Чаще всего ошибаются при определении 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состояния атомов в возбужденном состоянии. Невнимательность.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химических свойств элементов и их соединений по периодам и группам Общая характеристика металлов I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–VIIА групп в связи с их положением в Периодической системе химических элементов Д.И. Менделеева и особенностями строения их атомов.</w:t>
            </w: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Недостаточное знание основных закономерностей изменения химических свойств элементов и их соединения по периодам и группам.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Арифметические ошибки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строения..</w:t>
            </w: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умеют определять вид связи. Не могут установить зависимость между составом, строением и свойствами веществ.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неорганических веществ.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Номенклатура неорганических веществ (тривиальная и международная).</w:t>
            </w: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Затрудняются в номенклатуре.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металлов: щелочных,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щелочноземельных, алюминия;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переходных металлов: меди, цинка, хрома, железа.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неметаллов: водорода, галогенов, кислорода, серы, азота, фосфора, углерода, кремния.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Недостаточные знания химических свойств простых вещест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металлов и 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неметаллов.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óвных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амфотерных, кислотных </w:t>
            </w:r>
          </w:p>
        </w:tc>
        <w:tc>
          <w:tcPr>
            <w:tcW w:w="1059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5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закреплены знания химических свойств оксидов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</w:t>
            </w:r>
            <w:proofErr w:type="spellStart"/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óвных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, комплексных (на примере соединений алюминия и цинка).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электролитов в водных растворах. Сильные и слабые электролиты.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усвоен материал о химических свойствах амфотерных соединений.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неорганических веществ 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Формальное изучение теории.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отработан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материл по определению окислителей и восстановителей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неорганических веществ: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 простых веществ-металлов: щелочных, щелочно-земельных, алюминия, переходных металлов (меди, цинка, хрома, железа);</w:t>
            </w:r>
            <w:proofErr w:type="gramEnd"/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 простых веществ – неметаллов: водорода, галогенов, кислорода, серы, азота, фосфора, углерода, кремния;</w:t>
            </w:r>
            <w:proofErr w:type="gramEnd"/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 оксидов: основных, амфотерных, кислотных;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 оснований и амфотерных гидроксидов;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 кислот;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 солей: средних, кислых основных; комплексных (на примере соединений алюминия и цинка)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достаточно закреплен материал по знанию характерных химических свойств неорганических веществ.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веществ (тривиальная и международная).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Испытывают 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затруднения в номенклатуре и классификации органических веществ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Типы связей в молекулах органических веществ. Гибридизация 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Радикал. Функциональная группа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выделяют характерные признаки гомологов и изомеров 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 (бензола и толуола).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получения углеводородов (в лаборатории).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закреплён теоретический материал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альдегидов, предельных карбоновых кислот, сложных эфиров.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кислородсодержащих соединений (в лаборатории).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закреплён теоретический материал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азотсодержащих органических соединений: аминов и аминокислот.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углеводы (моносахариды, дисахариды, полисахариды), белки.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отработан материл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 и кислородсодержащих органических соединений.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закреплены знания о генетической связи.  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алкинов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, ароматических углеводородов (бензола и толуола). Ионный (правило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В.В.Марковникова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) и радикальный механизмы реакций в органической химии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Недостаточное усвоение знаний характерных 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химических свойств углеводородов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 предельных одноатомных и многоатомных спиртов, фенола, альдегидов, предельных карбоновых кислот, сложных эфиров.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отработан материл 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Неумение перенести полученные знания в новую ситуацию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Скорость реакции, ее зависимость от различных факторов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Не смогли определить зависимость скорости реакции от различных факторов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кислот).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Незнание правил электролиза растворов солей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солей.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металлургии: общие способы получения металлов. Общие научные принципы  производства.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последствия.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углеводородов, их переработка. Высокомолекулярные соединения. 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определить тип соли, а значит и среду раствора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химические реакции. Химическое равновесие. Смещение равновесия под действием различных факторов.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усвоили принцип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Шателье</w:t>
            </w:r>
            <w:proofErr w:type="spellEnd"/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закреплен материал по теме «Качественные реакции на неорганические и органические 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вещества»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средствами бытовой химии. Научные методы исследования химических веществ и превращений. Методы разделения смесей и очистки веществ.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металлургии: общие способы получения металлов.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Общие научные принципы химического производства (на примере промышленного получения аммиака, серной кислоты, метанола).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загрязнение окружающей среды и его последствия. 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Недостаточное знание правил безопасности при работе в школьной лаборатории, способов получения металлов, областей применения веществ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Расчеты с использованием понятия «массовая доля вещества в растворе»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Неумение перенести полученные знания в новую ситуацию</w:t>
            </w: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Арифметические ошибки 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Расчеты объемных отношений газов при химических реакциях. Расчеты по термохимическим уравнениям.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Арифметические ошибки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Расчеты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Неумение перенести полученные знания в новую ситуацию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988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gridSpan w:val="2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восстановительные. </w:t>
            </w:r>
          </w:p>
        </w:tc>
        <w:tc>
          <w:tcPr>
            <w:tcW w:w="988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6" w:type="dxa"/>
            <w:gridSpan w:val="2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отработан материл</w:t>
            </w:r>
            <w:r w:rsidR="00DA67D1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Неправильно определены </w:t>
            </w:r>
            <w:r w:rsidR="00B84B60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степени окисления, </w:t>
            </w:r>
            <w:r w:rsidR="00DA67D1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окислители, восстановители, 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988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66" w:type="dxa"/>
            <w:gridSpan w:val="2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отработан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материл</w:t>
            </w:r>
            <w:r w:rsidR="00B84B60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«Генетическая связь классов  неорганических веществ»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органических соединений</w:t>
            </w:r>
          </w:p>
        </w:tc>
        <w:tc>
          <w:tcPr>
            <w:tcW w:w="988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66" w:type="dxa"/>
            <w:gridSpan w:val="2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2427" w:type="dxa"/>
          </w:tcPr>
          <w:p w:rsidR="004E355C" w:rsidRPr="00EA3BF2" w:rsidRDefault="00B84B60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Допустили ошибки при составлении реакций, недостаточно  усвоены знания  по теме «Генетическая связь классов  органических веществ»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A766F9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18" w:type="dxa"/>
          </w:tcPr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Расчеты массы (объема, количества вещества) продуктов реакции, если одно 0из веществ дано в избытке (имеет п0римеси), если одно из веществ дано в виде раствора с определенной массовой долей растворенного вещества.</w:t>
            </w:r>
          </w:p>
          <w:p w:rsidR="004E355C" w:rsidRPr="00EA3BF2" w:rsidRDefault="004E355C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массовой или объемной доли выхода продукта реакции </w:t>
            </w:r>
            <w:proofErr w:type="gramStart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Расчеты массовой доли (массы) химического соединения в смеси</w:t>
            </w:r>
          </w:p>
        </w:tc>
        <w:tc>
          <w:tcPr>
            <w:tcW w:w="988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66" w:type="dxa"/>
            <w:gridSpan w:val="2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81,25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r w:rsidR="00B84B60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правильно производить вычисления, в которых используются необходимые физические величины</w:t>
            </w:r>
            <w:r w:rsidR="00776960"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заданные в условиях задания, не продемонстрирована логически обоснованная взаимосвязь физических величин, на основании которых проводятся расчеты</w:t>
            </w:r>
          </w:p>
        </w:tc>
      </w:tr>
      <w:tr w:rsidR="00637768" w:rsidRPr="00EA3BF2" w:rsidTr="00EA3BF2">
        <w:trPr>
          <w:jc w:val="center"/>
        </w:trPr>
        <w:tc>
          <w:tcPr>
            <w:tcW w:w="581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18" w:type="dxa"/>
          </w:tcPr>
          <w:p w:rsidR="004E355C" w:rsidRPr="00EA3BF2" w:rsidRDefault="00A766F9" w:rsidP="00EA3B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4E355C"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молекулярной</w:t>
            </w:r>
            <w:r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структурной </w:t>
            </w:r>
            <w:r w:rsidR="004E355C" w:rsidRPr="00EA3BF2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вещества</w:t>
            </w:r>
          </w:p>
        </w:tc>
        <w:tc>
          <w:tcPr>
            <w:tcW w:w="988" w:type="dxa"/>
          </w:tcPr>
          <w:p w:rsidR="004E355C" w:rsidRPr="00EA3BF2" w:rsidRDefault="00A766F9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66" w:type="dxa"/>
            <w:gridSpan w:val="2"/>
          </w:tcPr>
          <w:p w:rsidR="004E355C" w:rsidRPr="00EA3BF2" w:rsidRDefault="00A347DE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68,75</w:t>
            </w:r>
          </w:p>
        </w:tc>
        <w:tc>
          <w:tcPr>
            <w:tcW w:w="2427" w:type="dxa"/>
          </w:tcPr>
          <w:p w:rsidR="004E355C" w:rsidRPr="00EA3BF2" w:rsidRDefault="004E355C" w:rsidP="00EA3BF2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3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отработан материл</w:t>
            </w:r>
          </w:p>
        </w:tc>
      </w:tr>
    </w:tbl>
    <w:p w:rsidR="004E355C" w:rsidRPr="00EA3BF2" w:rsidRDefault="004E355C" w:rsidP="00EA3BF2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7DE" w:rsidRPr="00EA3BF2" w:rsidRDefault="00A347DE" w:rsidP="00EA3BF2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Pr="00EA3BF2" w:rsidRDefault="00637768" w:rsidP="00EA3BF2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Pr="00EA3BF2" w:rsidRDefault="00637768" w:rsidP="00EA3BF2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Pr="009D1B86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68" w:rsidRDefault="00637768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5C" w:rsidRPr="009D1B86" w:rsidRDefault="004E355C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86">
        <w:rPr>
          <w:rFonts w:ascii="Times New Roman" w:hAnsi="Times New Roman" w:cs="Times New Roman"/>
          <w:b/>
          <w:bCs/>
          <w:sz w:val="24"/>
          <w:szCs w:val="24"/>
        </w:rPr>
        <w:t>Анализ выполнения заданий части 1.</w:t>
      </w:r>
    </w:p>
    <w:p w:rsidR="004E355C" w:rsidRPr="009D1B86" w:rsidRDefault="004E355C" w:rsidP="004E355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5C" w:rsidRPr="00B01AAB" w:rsidRDefault="004E355C" w:rsidP="00B01AAB">
      <w:pPr>
        <w:pStyle w:val="a9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1AAB">
        <w:rPr>
          <w:rFonts w:ascii="Times New Roman" w:eastAsia="TimesNewRomanPSMT" w:hAnsi="Times New Roman" w:cs="Times New Roman"/>
          <w:sz w:val="24"/>
          <w:szCs w:val="24"/>
        </w:rPr>
        <w:t>Часть 1 содержала 2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 заданий</w:t>
      </w:r>
      <w:r w:rsidR="00637768" w:rsidRPr="00B01AAB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 задани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й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 базового уровня сложности (задания линий №1-№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9, №12-№17, №20,21, №27-№29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) и 9 заданий повышенного уровня 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lastRenderedPageBreak/>
        <w:t>сложности (задания линий №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10,11,18,19, №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>--№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26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). Сходство всех этих заданий заключается в том, что ответ к каждому из них записывается кратко в виде  последовательности цифр </w:t>
      </w:r>
      <w:r w:rsidR="00A347DE" w:rsidRPr="00B01AAB">
        <w:rPr>
          <w:rFonts w:ascii="Times New Roman" w:eastAsia="TimesNewRomanPSMT" w:hAnsi="Times New Roman" w:cs="Times New Roman"/>
          <w:sz w:val="24"/>
          <w:szCs w:val="24"/>
        </w:rPr>
        <w:t>или числа с заданной степенью точности.</w:t>
      </w:r>
    </w:p>
    <w:p w:rsidR="00465E4F" w:rsidRPr="00B01AAB" w:rsidRDefault="004E355C" w:rsidP="00B01AA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>Результаты выполнения заданий свидетельствуют об удовлетворительном усвоении выпускниками содержательных элементов базового содержания курса химии</w:t>
      </w:r>
      <w:r w:rsidR="00465E4F" w:rsidRPr="00B01AAB">
        <w:rPr>
          <w:rFonts w:ascii="Times New Roman" w:hAnsi="Times New Roman" w:cs="Times New Roman"/>
          <w:sz w:val="24"/>
          <w:szCs w:val="24"/>
        </w:rPr>
        <w:t>.</w:t>
      </w:r>
    </w:p>
    <w:p w:rsidR="00465E4F" w:rsidRPr="00B01AAB" w:rsidRDefault="00465E4F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 xml:space="preserve"> </w:t>
      </w:r>
      <w:r w:rsidR="00B01AAB">
        <w:rPr>
          <w:rFonts w:ascii="Times New Roman" w:hAnsi="Times New Roman" w:cs="Times New Roman"/>
          <w:sz w:val="24"/>
          <w:szCs w:val="24"/>
        </w:rPr>
        <w:tab/>
      </w:r>
      <w:r w:rsidRPr="00B01AAB">
        <w:rPr>
          <w:rFonts w:ascii="Times New Roman" w:hAnsi="Times New Roman" w:cs="Times New Roman"/>
          <w:sz w:val="24"/>
          <w:szCs w:val="24"/>
        </w:rPr>
        <w:t>Анализируя результаты выполнения 1 части, можно утверждать, что наиболее успешно обучающиеся справились с заданиями: 2,3,5,6,7,10,13,17,19,27,29.</w:t>
      </w:r>
    </w:p>
    <w:p w:rsidR="00B01AAB" w:rsidRDefault="004E355C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>Результаты выполнения заданий повышенного уровня сложности (диаграмма 3), свидетельствуют о хорошем уровне усвоения большинством обучающихся задания линии</w:t>
      </w:r>
      <w:r w:rsidR="00B657A0" w:rsidRPr="00B01AAB">
        <w:rPr>
          <w:rFonts w:ascii="Times New Roman" w:hAnsi="Times New Roman" w:cs="Times New Roman"/>
          <w:sz w:val="24"/>
          <w:szCs w:val="24"/>
        </w:rPr>
        <w:t xml:space="preserve"> 10</w:t>
      </w:r>
      <w:r w:rsidRPr="00B01AAB">
        <w:rPr>
          <w:rFonts w:ascii="Times New Roman" w:hAnsi="Times New Roman" w:cs="Times New Roman"/>
          <w:sz w:val="24"/>
          <w:szCs w:val="24"/>
        </w:rPr>
        <w:t xml:space="preserve"> (</w:t>
      </w:r>
      <w:r w:rsidR="00B657A0" w:rsidRPr="00B01AAB">
        <w:rPr>
          <w:rFonts w:ascii="Times New Roman" w:hAnsi="Times New Roman" w:cs="Times New Roman"/>
          <w:sz w:val="24"/>
          <w:szCs w:val="24"/>
        </w:rPr>
        <w:t>75</w:t>
      </w:r>
      <w:r w:rsidRPr="00B01AAB">
        <w:rPr>
          <w:rFonts w:ascii="Times New Roman" w:hAnsi="Times New Roman" w:cs="Times New Roman"/>
          <w:sz w:val="24"/>
          <w:szCs w:val="24"/>
        </w:rPr>
        <w:t xml:space="preserve">%), </w:t>
      </w:r>
      <w:r w:rsidR="00B657A0" w:rsidRPr="00B01AAB">
        <w:rPr>
          <w:rFonts w:ascii="Times New Roman" w:hAnsi="Times New Roman" w:cs="Times New Roman"/>
          <w:sz w:val="24"/>
          <w:szCs w:val="24"/>
        </w:rPr>
        <w:t>18</w:t>
      </w:r>
      <w:r w:rsidRPr="00B01AAB">
        <w:rPr>
          <w:rFonts w:ascii="Times New Roman" w:hAnsi="Times New Roman" w:cs="Times New Roman"/>
          <w:sz w:val="24"/>
          <w:szCs w:val="24"/>
        </w:rPr>
        <w:t xml:space="preserve"> (</w:t>
      </w:r>
      <w:r w:rsidR="00B657A0" w:rsidRPr="00B01AAB">
        <w:rPr>
          <w:rFonts w:ascii="Times New Roman" w:hAnsi="Times New Roman" w:cs="Times New Roman"/>
          <w:sz w:val="24"/>
          <w:szCs w:val="24"/>
        </w:rPr>
        <w:t>56,25</w:t>
      </w:r>
      <w:r w:rsidRPr="00B01AAB">
        <w:rPr>
          <w:rFonts w:ascii="Times New Roman" w:hAnsi="Times New Roman" w:cs="Times New Roman"/>
          <w:sz w:val="24"/>
          <w:szCs w:val="24"/>
        </w:rPr>
        <w:t>%)</w:t>
      </w:r>
      <w:r w:rsidR="00B657A0" w:rsidRPr="00B01AAB">
        <w:rPr>
          <w:rFonts w:ascii="Times New Roman" w:hAnsi="Times New Roman" w:cs="Times New Roman"/>
          <w:sz w:val="24"/>
          <w:szCs w:val="24"/>
        </w:rPr>
        <w:t>, 19 (68,75%), 22 (62,5%), 23 (62,5%)</w:t>
      </w:r>
      <w:r w:rsidRPr="00B01AAB">
        <w:rPr>
          <w:rFonts w:ascii="Times New Roman" w:hAnsi="Times New Roman" w:cs="Times New Roman"/>
          <w:sz w:val="24"/>
          <w:szCs w:val="24"/>
        </w:rPr>
        <w:t xml:space="preserve"> следующих элементов содержания курса химии: </w:t>
      </w:r>
    </w:p>
    <w:p w:rsidR="00B01AAB" w:rsidRDefault="00B01AAB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7A0" w:rsidRPr="00B01AAB">
        <w:rPr>
          <w:rFonts w:ascii="Times New Roman" w:hAnsi="Times New Roman" w:cs="Times New Roman"/>
          <w:sz w:val="24"/>
          <w:szCs w:val="24"/>
        </w:rPr>
        <w:t xml:space="preserve">Реакции </w:t>
      </w:r>
      <w:proofErr w:type="spellStart"/>
      <w:r w:rsidR="00B657A0" w:rsidRPr="00B01AA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B657A0" w:rsidRPr="00B01AAB">
        <w:rPr>
          <w:rFonts w:ascii="Times New Roman" w:hAnsi="Times New Roman" w:cs="Times New Roman"/>
          <w:sz w:val="24"/>
          <w:szCs w:val="24"/>
        </w:rPr>
        <w:t xml:space="preserve"> – восстановительные (задания линии 10), </w:t>
      </w:r>
    </w:p>
    <w:p w:rsidR="00B01AAB" w:rsidRDefault="00B01AAB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7A0" w:rsidRPr="00B01AAB">
        <w:rPr>
          <w:rFonts w:ascii="Times New Roman" w:hAnsi="Times New Roman" w:cs="Times New Roman"/>
          <w:sz w:val="24"/>
          <w:szCs w:val="24"/>
        </w:rPr>
        <w:t>Характерные химические свойства углеводородов</w:t>
      </w:r>
      <w:r w:rsidR="008100B7" w:rsidRPr="00B01AAB">
        <w:rPr>
          <w:rFonts w:ascii="Times New Roman" w:hAnsi="Times New Roman" w:cs="Times New Roman"/>
          <w:sz w:val="24"/>
          <w:szCs w:val="24"/>
        </w:rPr>
        <w:t xml:space="preserve"> (задания линии 18), </w:t>
      </w:r>
    </w:p>
    <w:p w:rsidR="00B01AAB" w:rsidRDefault="00B01AAB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 xml:space="preserve">Характерные химические свойства кислородсодержащих органических соединений (задания линии 19), </w:t>
      </w:r>
    </w:p>
    <w:p w:rsidR="00B01AAB" w:rsidRDefault="00B01AAB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 xml:space="preserve">Электролиз расплавов и растворов (задания линии 20), </w:t>
      </w:r>
    </w:p>
    <w:p w:rsidR="00B01AAB" w:rsidRDefault="00B01AAB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>Гидролиз солей (задания линии 23).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5C" w:rsidRPr="00B01AAB" w:rsidRDefault="004E355C" w:rsidP="00B01AA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Задания линии </w:t>
      </w:r>
      <w:r w:rsidR="008100B7" w:rsidRPr="00B01AAB">
        <w:rPr>
          <w:rFonts w:ascii="Times New Roman" w:eastAsia="TimesNewRomanPSMT" w:hAnsi="Times New Roman" w:cs="Times New Roman"/>
          <w:sz w:val="24"/>
          <w:szCs w:val="24"/>
        </w:rPr>
        <w:t>11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8100B7" w:rsidRPr="00B01AAB">
        <w:rPr>
          <w:rFonts w:ascii="Times New Roman" w:eastAsia="TimesNewRomanPSMT" w:hAnsi="Times New Roman" w:cs="Times New Roman"/>
          <w:sz w:val="24"/>
          <w:szCs w:val="24"/>
        </w:rPr>
        <w:t xml:space="preserve">24,25,26 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 xml:space="preserve">усвоены плохо (наглядно видно на диаграмме  и в таблице) </w:t>
      </w:r>
      <w:r w:rsidRPr="00B01AAB">
        <w:rPr>
          <w:rFonts w:ascii="Times New Roman" w:hAnsi="Times New Roman" w:cs="Times New Roman"/>
          <w:sz w:val="24"/>
          <w:szCs w:val="24"/>
        </w:rPr>
        <w:t xml:space="preserve">содержательные элементы: </w:t>
      </w:r>
    </w:p>
    <w:p w:rsidR="004E355C" w:rsidRPr="00B01AAB" w:rsidRDefault="000D5DD0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55C" w:rsidRPr="00B01AAB">
        <w:rPr>
          <w:rFonts w:ascii="Times New Roman" w:hAnsi="Times New Roman" w:cs="Times New Roman"/>
          <w:sz w:val="24"/>
          <w:szCs w:val="24"/>
        </w:rPr>
        <w:t>Характерные химические свойства неорганических веществ</w:t>
      </w:r>
      <w:r w:rsidR="008100B7" w:rsidRPr="00B01AAB">
        <w:rPr>
          <w:rFonts w:ascii="Times New Roman" w:hAnsi="Times New Roman" w:cs="Times New Roman"/>
          <w:sz w:val="24"/>
          <w:szCs w:val="24"/>
        </w:rPr>
        <w:t xml:space="preserve"> (11 задание).</w:t>
      </w:r>
    </w:p>
    <w:p w:rsidR="008100B7" w:rsidRPr="00B01AAB" w:rsidRDefault="000D5DD0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реакции. Химическое равновесие. Смещение равновесия под действием различных факторов (24 задание).</w:t>
      </w:r>
    </w:p>
    <w:p w:rsidR="008100B7" w:rsidRPr="00B01AAB" w:rsidRDefault="000D5DD0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55C" w:rsidRPr="00B01AAB">
        <w:rPr>
          <w:rFonts w:ascii="Times New Roman" w:hAnsi="Times New Roman" w:cs="Times New Roman"/>
          <w:sz w:val="24"/>
          <w:szCs w:val="24"/>
        </w:rPr>
        <w:t>Качественные реакции на неорганические вещества и ионы. Качественные реакции органических соединений</w:t>
      </w:r>
      <w:r w:rsidR="008100B7" w:rsidRPr="00B01AAB">
        <w:rPr>
          <w:rFonts w:ascii="Times New Roman" w:hAnsi="Times New Roman" w:cs="Times New Roman"/>
          <w:sz w:val="24"/>
          <w:szCs w:val="24"/>
        </w:rPr>
        <w:t xml:space="preserve"> (25 задание).</w:t>
      </w:r>
    </w:p>
    <w:p w:rsidR="008100B7" w:rsidRPr="00B01AAB" w:rsidRDefault="000D5DD0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>Правила работы в лаборатории. Лабораторная посуда и оборудование. Правила безопасности при работе с едкими, горючими и токсичными веществами,</w:t>
      </w:r>
      <w:r w:rsidR="009D1B86" w:rsidRPr="00B01AAB">
        <w:rPr>
          <w:rFonts w:ascii="Times New Roman" w:hAnsi="Times New Roman" w:cs="Times New Roman"/>
          <w:sz w:val="24"/>
          <w:szCs w:val="24"/>
        </w:rPr>
        <w:t xml:space="preserve"> </w:t>
      </w:r>
      <w:r w:rsidR="008100B7" w:rsidRPr="00B01AAB">
        <w:rPr>
          <w:rFonts w:ascii="Times New Roman" w:hAnsi="Times New Roman" w:cs="Times New Roman"/>
          <w:sz w:val="24"/>
          <w:szCs w:val="24"/>
        </w:rPr>
        <w:t>средствами бытовой химии. Научные методы исследования химических веществ и превращений. Методы разделения смесей и очистки веществ.</w:t>
      </w:r>
    </w:p>
    <w:p w:rsidR="009D1B86" w:rsidRPr="00B01AAB" w:rsidRDefault="00AE57CC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 xml:space="preserve">Понятие о металлургии: общие способы получения металлов. </w:t>
      </w:r>
    </w:p>
    <w:p w:rsidR="009D1B86" w:rsidRPr="00B01AAB" w:rsidRDefault="00AE57CC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B7" w:rsidRPr="00B01AAB">
        <w:rPr>
          <w:rFonts w:ascii="Times New Roman" w:hAnsi="Times New Roman" w:cs="Times New Roman"/>
          <w:sz w:val="24"/>
          <w:szCs w:val="24"/>
        </w:rPr>
        <w:t>Общие научные принципы химического производства (на примере промышленного получения аммиака, серной кислоты, метанола)</w:t>
      </w:r>
      <w:proofErr w:type="gramStart"/>
      <w:r w:rsidR="008100B7" w:rsidRPr="00B01AA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100B7" w:rsidRPr="00B01AAB">
        <w:rPr>
          <w:rFonts w:ascii="Times New Roman" w:hAnsi="Times New Roman" w:cs="Times New Roman"/>
          <w:sz w:val="24"/>
          <w:szCs w:val="24"/>
        </w:rPr>
        <w:t xml:space="preserve">имическое загрязнение окружающей среды и его последствия. </w:t>
      </w:r>
      <w:r w:rsidR="009D1B86" w:rsidRPr="00B01AAB">
        <w:rPr>
          <w:rFonts w:ascii="Times New Roman" w:hAnsi="Times New Roman" w:cs="Times New Roman"/>
          <w:sz w:val="24"/>
          <w:szCs w:val="24"/>
        </w:rPr>
        <w:t>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  (26 задание).</w:t>
      </w:r>
    </w:p>
    <w:p w:rsidR="008100B7" w:rsidRPr="00B01AAB" w:rsidRDefault="008100B7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100B7" w:rsidRPr="00B01AAB" w:rsidRDefault="008100B7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355C" w:rsidRPr="00B01AAB" w:rsidRDefault="004E355C" w:rsidP="008647D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AAB">
        <w:rPr>
          <w:rFonts w:ascii="Times New Roman" w:hAnsi="Times New Roman" w:cs="Times New Roman"/>
          <w:b/>
          <w:bCs/>
          <w:sz w:val="24"/>
          <w:szCs w:val="24"/>
        </w:rPr>
        <w:t>Анализ выполнения заданий части 2.</w:t>
      </w:r>
    </w:p>
    <w:p w:rsidR="004E355C" w:rsidRPr="00B01AAB" w:rsidRDefault="004E355C" w:rsidP="00B01AA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E06" w:rsidRPr="00B01AAB" w:rsidRDefault="004E355C" w:rsidP="008647D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eastAsia="TimesNewRomanPSMT" w:hAnsi="Times New Roman" w:cs="Times New Roman"/>
          <w:sz w:val="24"/>
          <w:szCs w:val="24"/>
        </w:rPr>
        <w:t>Часть 2 содержала 5 заданий высокого уровня сложности с развернутым ответом (задания 3</w:t>
      </w:r>
      <w:r w:rsidR="009D1B86" w:rsidRPr="00B01AAB"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9D1B86" w:rsidRPr="00B01AAB">
        <w:rPr>
          <w:rFonts w:ascii="Times New Roman" w:eastAsia="TimesNewRomanPSMT" w:hAnsi="Times New Roman" w:cs="Times New Roman"/>
          <w:sz w:val="24"/>
          <w:szCs w:val="24"/>
        </w:rPr>
        <w:t>34</w:t>
      </w:r>
      <w:r w:rsidRPr="00B01AAB">
        <w:rPr>
          <w:rFonts w:ascii="Times New Roman" w:eastAsia="TimesNewRomanPSMT" w:hAnsi="Times New Roman" w:cs="Times New Roman"/>
          <w:sz w:val="24"/>
          <w:szCs w:val="24"/>
        </w:rPr>
        <w:t>).</w:t>
      </w:r>
      <w:r w:rsidRPr="00B01AAB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части 2, представленные на диаграмме 4 и в таблицах  свидетельствуют о том, что </w:t>
      </w:r>
      <w:r w:rsidR="00442E3F" w:rsidRPr="00B01AAB">
        <w:rPr>
          <w:rFonts w:ascii="Times New Roman" w:hAnsi="Times New Roman" w:cs="Times New Roman"/>
          <w:sz w:val="24"/>
          <w:szCs w:val="24"/>
        </w:rPr>
        <w:t>не все</w:t>
      </w:r>
      <w:r w:rsidRPr="00B01AAB">
        <w:rPr>
          <w:rFonts w:ascii="Times New Roman" w:hAnsi="Times New Roman" w:cs="Times New Roman"/>
          <w:sz w:val="24"/>
          <w:szCs w:val="24"/>
        </w:rPr>
        <w:t xml:space="preserve"> обучающихся  приступили к выполнению заданий части 2</w:t>
      </w:r>
      <w:r w:rsidR="00953E06" w:rsidRPr="00B01AAB">
        <w:rPr>
          <w:rFonts w:ascii="Times New Roman" w:hAnsi="Times New Roman" w:cs="Times New Roman"/>
          <w:sz w:val="24"/>
          <w:szCs w:val="24"/>
        </w:rPr>
        <w:t xml:space="preserve">. </w:t>
      </w:r>
      <w:r w:rsidR="00637768" w:rsidRPr="00B01AAB">
        <w:rPr>
          <w:rFonts w:ascii="Times New Roman" w:hAnsi="Times New Roman" w:cs="Times New Roman"/>
          <w:sz w:val="24"/>
          <w:szCs w:val="24"/>
        </w:rPr>
        <w:t xml:space="preserve">Выпускниками не достаточно </w:t>
      </w:r>
      <w:r w:rsidRPr="00B01AAB">
        <w:rPr>
          <w:rFonts w:ascii="Times New Roman" w:hAnsi="Times New Roman" w:cs="Times New Roman"/>
          <w:sz w:val="24"/>
          <w:szCs w:val="24"/>
        </w:rPr>
        <w:t xml:space="preserve"> </w:t>
      </w:r>
      <w:r w:rsidR="00637768" w:rsidRPr="00B01AAB">
        <w:rPr>
          <w:rFonts w:ascii="Times New Roman" w:hAnsi="Times New Roman" w:cs="Times New Roman"/>
          <w:sz w:val="24"/>
          <w:szCs w:val="24"/>
        </w:rPr>
        <w:t xml:space="preserve">усвоены следующие содержательные </w:t>
      </w:r>
      <w:r w:rsidRPr="00B01AAB">
        <w:rPr>
          <w:rFonts w:ascii="Times New Roman" w:hAnsi="Times New Roman" w:cs="Times New Roman"/>
          <w:sz w:val="24"/>
          <w:szCs w:val="24"/>
        </w:rPr>
        <w:t xml:space="preserve"> элементы 2 части</w:t>
      </w:r>
      <w:r w:rsidR="00C471A2" w:rsidRPr="00B01AAB">
        <w:rPr>
          <w:rFonts w:ascii="Times New Roman" w:hAnsi="Times New Roman" w:cs="Times New Roman"/>
          <w:sz w:val="24"/>
          <w:szCs w:val="24"/>
        </w:rPr>
        <w:t>:</w:t>
      </w:r>
    </w:p>
    <w:p w:rsidR="00953E06" w:rsidRPr="00B01AAB" w:rsidRDefault="00953E06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>-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Реакции, подтверждающие взаимосвязь различных классов неорганических веществ.</w:t>
      </w:r>
    </w:p>
    <w:p w:rsidR="008647D8" w:rsidRDefault="00953E06" w:rsidP="00B01AAB">
      <w:pPr>
        <w:pStyle w:val="a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 xml:space="preserve">- </w:t>
      </w:r>
      <w:r w:rsidR="004E355C" w:rsidRPr="00B01AAB">
        <w:rPr>
          <w:rFonts w:ascii="Times New Roman" w:hAnsi="Times New Roman" w:cs="Times New Roman"/>
          <w:sz w:val="24"/>
          <w:szCs w:val="24"/>
        </w:rPr>
        <w:t>Реакции, подтверждающие взаимосвязь органических соединений</w:t>
      </w:r>
    </w:p>
    <w:p w:rsidR="004E355C" w:rsidRPr="008647D8" w:rsidRDefault="00953E06" w:rsidP="00B01AAB">
      <w:pPr>
        <w:pStyle w:val="a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 xml:space="preserve"> - </w:t>
      </w:r>
      <w:r w:rsidR="004E355C" w:rsidRPr="00B01AAB">
        <w:rPr>
          <w:rFonts w:ascii="Times New Roman" w:hAnsi="Times New Roman" w:cs="Times New Roman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</w:t>
      </w:r>
    </w:p>
    <w:p w:rsidR="004E355C" w:rsidRPr="00B01AAB" w:rsidRDefault="008647D8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E06" w:rsidRPr="00B01AAB">
        <w:rPr>
          <w:rFonts w:ascii="Times New Roman" w:hAnsi="Times New Roman" w:cs="Times New Roman"/>
          <w:sz w:val="24"/>
          <w:szCs w:val="24"/>
        </w:rPr>
        <w:t xml:space="preserve">- 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Расчеты массовой или объемной доли выхода продукта реакции </w:t>
      </w:r>
      <w:proofErr w:type="gramStart"/>
      <w:r w:rsidR="004E355C" w:rsidRPr="00B01A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355C" w:rsidRPr="00B01AAB">
        <w:rPr>
          <w:rFonts w:ascii="Times New Roman" w:hAnsi="Times New Roman" w:cs="Times New Roman"/>
          <w:sz w:val="24"/>
          <w:szCs w:val="24"/>
        </w:rPr>
        <w:t xml:space="preserve"> теоретически возможного. Расчеты массовой доли (массы) химического соединения в смеси.</w:t>
      </w:r>
    </w:p>
    <w:p w:rsidR="004E355C" w:rsidRPr="00B01AAB" w:rsidRDefault="00953E06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 xml:space="preserve">- </w:t>
      </w:r>
      <w:r w:rsidR="00C471A2" w:rsidRPr="00B01AAB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молекулярной</w:t>
      </w:r>
      <w:r w:rsidR="00C471A2" w:rsidRPr="00B01AAB">
        <w:rPr>
          <w:rFonts w:ascii="Times New Roman" w:hAnsi="Times New Roman" w:cs="Times New Roman"/>
          <w:sz w:val="24"/>
          <w:szCs w:val="24"/>
        </w:rPr>
        <w:t xml:space="preserve"> и структурной формулы вещества</w:t>
      </w:r>
      <w:r w:rsidR="004E355C" w:rsidRPr="00B01AAB">
        <w:rPr>
          <w:rFonts w:ascii="Times New Roman" w:hAnsi="Times New Roman" w:cs="Times New Roman"/>
          <w:sz w:val="24"/>
          <w:szCs w:val="24"/>
        </w:rPr>
        <w:t>.</w:t>
      </w:r>
    </w:p>
    <w:p w:rsidR="00953E06" w:rsidRPr="00B01AAB" w:rsidRDefault="00953E06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53E06" w:rsidRPr="00B01AAB" w:rsidRDefault="00C02F27" w:rsidP="00B01A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6" style="position:absolute;left:0;text-align:left;margin-left:234pt;margin-top:67.2pt;width:9pt;height:1.5pt;z-index:251660288;mso-position-horizontal:absolute;mso-position-vertical:absolute" coordsize="180,30" path="m135,30l180,,45,,,30r135,xe" fillcolor="#7373bf">
            <v:path arrowok="t"/>
          </v:shape>
        </w:pict>
      </w:r>
      <w:r w:rsidR="004E355C" w:rsidRPr="00B01AAB">
        <w:rPr>
          <w:rFonts w:ascii="Times New Roman" w:hAnsi="Times New Roman" w:cs="Times New Roman"/>
          <w:b/>
          <w:sz w:val="24"/>
          <w:szCs w:val="24"/>
        </w:rPr>
        <w:t>Рекоме</w:t>
      </w:r>
      <w:r w:rsidR="00C471A2" w:rsidRPr="00B01AAB">
        <w:rPr>
          <w:rFonts w:ascii="Times New Roman" w:hAnsi="Times New Roman" w:cs="Times New Roman"/>
          <w:b/>
          <w:sz w:val="24"/>
          <w:szCs w:val="24"/>
        </w:rPr>
        <w:t>н</w:t>
      </w:r>
      <w:r w:rsidR="004E355C" w:rsidRPr="00B01AAB">
        <w:rPr>
          <w:rFonts w:ascii="Times New Roman" w:hAnsi="Times New Roman" w:cs="Times New Roman"/>
          <w:b/>
          <w:sz w:val="24"/>
          <w:szCs w:val="24"/>
        </w:rPr>
        <w:t>дации</w:t>
      </w:r>
      <w:r w:rsidR="00C471A2" w:rsidRPr="00B01AAB">
        <w:rPr>
          <w:rFonts w:ascii="Times New Roman" w:hAnsi="Times New Roman" w:cs="Times New Roman"/>
          <w:b/>
          <w:sz w:val="24"/>
          <w:szCs w:val="24"/>
        </w:rPr>
        <w:t>:</w:t>
      </w:r>
    </w:p>
    <w:p w:rsidR="00953E06" w:rsidRPr="00B01AAB" w:rsidRDefault="001744C3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>В</w:t>
      </w:r>
      <w:r w:rsidR="00C471A2" w:rsidRPr="00B01AAB">
        <w:rPr>
          <w:rFonts w:ascii="Times New Roman" w:hAnsi="Times New Roman" w:cs="Times New Roman"/>
          <w:sz w:val="24"/>
          <w:szCs w:val="24"/>
        </w:rPr>
        <w:t xml:space="preserve"> </w:t>
      </w:r>
      <w:r w:rsidR="004E355C" w:rsidRPr="00B01AAB">
        <w:rPr>
          <w:rFonts w:ascii="Times New Roman" w:hAnsi="Times New Roman" w:cs="Times New Roman"/>
          <w:sz w:val="24"/>
          <w:szCs w:val="24"/>
        </w:rPr>
        <w:t>экзаменационной работ</w:t>
      </w:r>
      <w:r w:rsidR="00C471A2" w:rsidRPr="00B01AAB">
        <w:rPr>
          <w:rFonts w:ascii="Times New Roman" w:hAnsi="Times New Roman" w:cs="Times New Roman"/>
          <w:sz w:val="24"/>
          <w:szCs w:val="24"/>
        </w:rPr>
        <w:t xml:space="preserve">е 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201</w:t>
      </w:r>
      <w:r w:rsidR="009D1B86" w:rsidRPr="00B01AAB">
        <w:rPr>
          <w:rFonts w:ascii="Times New Roman" w:hAnsi="Times New Roman" w:cs="Times New Roman"/>
          <w:sz w:val="24"/>
          <w:szCs w:val="24"/>
        </w:rPr>
        <w:t>7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</w:t>
      </w:r>
      <w:r w:rsidRPr="00B01AAB">
        <w:rPr>
          <w:rFonts w:ascii="Times New Roman" w:hAnsi="Times New Roman" w:cs="Times New Roman"/>
          <w:sz w:val="24"/>
          <w:szCs w:val="24"/>
        </w:rPr>
        <w:t>года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</w:t>
      </w:r>
      <w:r w:rsidR="00BA3BF0" w:rsidRPr="00B01AAB">
        <w:rPr>
          <w:rFonts w:ascii="Times New Roman" w:hAnsi="Times New Roman" w:cs="Times New Roman"/>
          <w:sz w:val="24"/>
          <w:szCs w:val="24"/>
        </w:rPr>
        <w:t>п</w:t>
      </w:r>
      <w:r w:rsidR="00756D9A" w:rsidRPr="00B01AAB">
        <w:rPr>
          <w:rFonts w:ascii="Times New Roman" w:hAnsi="Times New Roman" w:cs="Times New Roman"/>
          <w:sz w:val="24"/>
          <w:szCs w:val="24"/>
        </w:rPr>
        <w:t>о сравнению с работой 2016 года приняты</w:t>
      </w:r>
      <w:r w:rsidR="00BA3BF0" w:rsidRPr="00B01AAB">
        <w:rPr>
          <w:rFonts w:ascii="Times New Roman" w:hAnsi="Times New Roman" w:cs="Times New Roman"/>
          <w:sz w:val="24"/>
          <w:szCs w:val="24"/>
        </w:rPr>
        <w:t xml:space="preserve"> измене</w:t>
      </w:r>
      <w:r w:rsidR="004E355C" w:rsidRPr="00B01AAB">
        <w:rPr>
          <w:rFonts w:ascii="Times New Roman" w:hAnsi="Times New Roman" w:cs="Times New Roman"/>
          <w:sz w:val="24"/>
          <w:szCs w:val="24"/>
        </w:rPr>
        <w:t>н</w:t>
      </w:r>
      <w:r w:rsidR="00BA3BF0" w:rsidRPr="00B01AAB">
        <w:rPr>
          <w:rFonts w:ascii="Times New Roman" w:hAnsi="Times New Roman" w:cs="Times New Roman"/>
          <w:sz w:val="24"/>
          <w:szCs w:val="24"/>
        </w:rPr>
        <w:t>ия: принципиально изменена структура части 1 КИМ, задания сгруппированы по отдельным тематическим блокам, в каждом из которых присутствуют задания как базового, так и повышенного уровней сложности. Внутри каждого блока задания расположены по нарастанию того количества</w:t>
      </w:r>
      <w:r w:rsidRPr="00B01AAB">
        <w:rPr>
          <w:rFonts w:ascii="Times New Roman" w:hAnsi="Times New Roman" w:cs="Times New Roman"/>
          <w:sz w:val="24"/>
          <w:szCs w:val="24"/>
        </w:rPr>
        <w:t xml:space="preserve"> учебных действий, которое необходимо для их выполнения. В экзаменационной работе 2017 года уменьшено общее количество заданий с 40 (в 2016г.) до 34. Это обусловлено тем, что существенно усилена </w:t>
      </w:r>
      <w:proofErr w:type="spellStart"/>
      <w:r w:rsidRPr="00B01AAB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B01AAB">
        <w:rPr>
          <w:rFonts w:ascii="Times New Roman" w:hAnsi="Times New Roman" w:cs="Times New Roman"/>
          <w:sz w:val="24"/>
          <w:szCs w:val="24"/>
        </w:rPr>
        <w:t xml:space="preserve"> основа и практико-ориентированная направленность содержания всех заданий базового уровня сложности, в результате чего выполнение каждого из них требует системного применения обобщенных знаний.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Общие </w:t>
      </w:r>
      <w:proofErr w:type="gramStart"/>
      <w:r w:rsidR="004E355C" w:rsidRPr="00B01AAB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="004E355C" w:rsidRPr="00B01AAB">
        <w:rPr>
          <w:rFonts w:ascii="Times New Roman" w:hAnsi="Times New Roman" w:cs="Times New Roman"/>
          <w:sz w:val="24"/>
          <w:szCs w:val="24"/>
        </w:rPr>
        <w:t xml:space="preserve"> к организации подготовки к экзамену остаются прежними. </w:t>
      </w:r>
    </w:p>
    <w:p w:rsidR="00953E06" w:rsidRPr="00B01AAB" w:rsidRDefault="00996391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355C" w:rsidRPr="00B01AAB">
        <w:rPr>
          <w:rFonts w:ascii="Times New Roman" w:hAnsi="Times New Roman" w:cs="Times New Roman"/>
          <w:sz w:val="24"/>
          <w:szCs w:val="24"/>
        </w:rPr>
        <w:t>Методическую помощь учителям и обучающимся при подготовке к ЕГЭ могут оказать материалы</w:t>
      </w:r>
      <w:r w:rsidR="00957E4C" w:rsidRPr="00B01AAB">
        <w:rPr>
          <w:rFonts w:ascii="Times New Roman" w:hAnsi="Times New Roman" w:cs="Times New Roman"/>
          <w:sz w:val="24"/>
          <w:szCs w:val="24"/>
        </w:rPr>
        <w:t>:</w:t>
      </w:r>
    </w:p>
    <w:p w:rsidR="00953E06" w:rsidRPr="00B01AAB" w:rsidRDefault="00996391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сайт</w:t>
      </w:r>
      <w:r w:rsidR="00957E4C" w:rsidRPr="00B01AAB">
        <w:rPr>
          <w:rFonts w:ascii="Times New Roman" w:hAnsi="Times New Roman" w:cs="Times New Roman"/>
          <w:sz w:val="24"/>
          <w:szCs w:val="24"/>
        </w:rPr>
        <w:t>ов: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E355C" w:rsidRPr="00B01AA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www.fipi.ru</w:t>
        </w:r>
      </w:hyperlink>
      <w:r w:rsidR="00292D8F" w:rsidRPr="00B01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D8F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292D8F" w:rsidRPr="00B01A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92D8F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92D8F" w:rsidRPr="00B01AAB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292D8F" w:rsidRPr="00B0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8F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ege</w:t>
      </w:r>
      <w:proofErr w:type="spellEnd"/>
      <w:r w:rsidR="00292D8F" w:rsidRPr="00B01A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92D8F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292D8F" w:rsidRPr="00B01A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92D8F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92D8F" w:rsidRPr="00B01A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28ED" w:rsidRPr="00B01AA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5F28ED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reshuege</w:t>
      </w:r>
      <w:proofErr w:type="spellEnd"/>
      <w:r w:rsidR="005F28ED" w:rsidRPr="00B01A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28ED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F28ED" w:rsidRPr="00B01AA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="005F28ED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examen</w:t>
      </w:r>
      <w:proofErr w:type="spellEnd"/>
      <w:r w:rsidR="005F28ED" w:rsidRPr="00B01A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F28ED" w:rsidRPr="00B01A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F28ED" w:rsidRPr="00B01AAB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E355C" w:rsidRPr="00B0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3F" w:rsidRPr="00B01AAB" w:rsidRDefault="004E355C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AAB">
        <w:rPr>
          <w:rFonts w:ascii="Times New Roman" w:hAnsi="Times New Roman" w:cs="Times New Roman"/>
          <w:sz w:val="24"/>
          <w:szCs w:val="24"/>
        </w:rPr>
        <w:t>– методически</w:t>
      </w:r>
      <w:r w:rsidR="00957E4C" w:rsidRPr="00B01AAB">
        <w:rPr>
          <w:rFonts w:ascii="Times New Roman" w:hAnsi="Times New Roman" w:cs="Times New Roman"/>
          <w:sz w:val="24"/>
          <w:szCs w:val="24"/>
        </w:rPr>
        <w:t>е</w:t>
      </w:r>
      <w:r w:rsidRPr="00B01AAB">
        <w:rPr>
          <w:rFonts w:ascii="Times New Roman" w:hAnsi="Times New Roman" w:cs="Times New Roman"/>
          <w:sz w:val="24"/>
          <w:szCs w:val="24"/>
        </w:rPr>
        <w:t xml:space="preserve"> рекомендации для учителей, подготовленны</w:t>
      </w:r>
      <w:r w:rsidR="00957E4C" w:rsidRPr="00B01AAB">
        <w:rPr>
          <w:rFonts w:ascii="Times New Roman" w:hAnsi="Times New Roman" w:cs="Times New Roman"/>
          <w:sz w:val="24"/>
          <w:szCs w:val="24"/>
        </w:rPr>
        <w:t>е</w:t>
      </w:r>
      <w:r w:rsidRPr="00B01AAB">
        <w:rPr>
          <w:rFonts w:ascii="Times New Roman" w:hAnsi="Times New Roman" w:cs="Times New Roman"/>
          <w:sz w:val="24"/>
          <w:szCs w:val="24"/>
        </w:rPr>
        <w:t xml:space="preserve"> на основе типичных ошибок участников ЕГЭ 201</w:t>
      </w:r>
      <w:r w:rsidR="005F28ED" w:rsidRPr="00B01AAB">
        <w:rPr>
          <w:rFonts w:ascii="Times New Roman" w:hAnsi="Times New Roman" w:cs="Times New Roman"/>
          <w:sz w:val="24"/>
          <w:szCs w:val="24"/>
        </w:rPr>
        <w:t>6</w:t>
      </w:r>
      <w:r w:rsidRPr="00B01AAB">
        <w:rPr>
          <w:rFonts w:ascii="Times New Roman" w:hAnsi="Times New Roman" w:cs="Times New Roman"/>
          <w:sz w:val="24"/>
          <w:szCs w:val="24"/>
        </w:rPr>
        <w:t xml:space="preserve"> года по химии (авторы:</w:t>
      </w:r>
      <w:proofErr w:type="gramEnd"/>
      <w:r w:rsidRPr="00B01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AAB">
        <w:rPr>
          <w:rFonts w:ascii="Times New Roman" w:hAnsi="Times New Roman" w:cs="Times New Roman"/>
          <w:sz w:val="24"/>
          <w:szCs w:val="24"/>
        </w:rPr>
        <w:t xml:space="preserve">А.А. Каверина, М.Г. </w:t>
      </w:r>
      <w:proofErr w:type="spellStart"/>
      <w:r w:rsidRPr="00B01AAB">
        <w:rPr>
          <w:rFonts w:ascii="Times New Roman" w:hAnsi="Times New Roman" w:cs="Times New Roman"/>
          <w:sz w:val="24"/>
          <w:szCs w:val="24"/>
        </w:rPr>
        <w:t>Снастина</w:t>
      </w:r>
      <w:proofErr w:type="spellEnd"/>
      <w:r w:rsidRPr="00B01AAB">
        <w:rPr>
          <w:rFonts w:ascii="Times New Roman" w:hAnsi="Times New Roman" w:cs="Times New Roman"/>
          <w:sz w:val="24"/>
          <w:szCs w:val="24"/>
        </w:rPr>
        <w:t>)</w:t>
      </w:r>
      <w:r w:rsidR="00957E4C" w:rsidRPr="00B01A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E3F" w:rsidRPr="00B01AAB" w:rsidRDefault="00996391" w:rsidP="00B01AA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F28ED" w:rsidRPr="00B01AAB">
        <w:rPr>
          <w:rFonts w:ascii="Times New Roman" w:hAnsi="Times New Roman" w:cs="Times New Roman"/>
          <w:color w:val="000000"/>
          <w:sz w:val="24"/>
          <w:szCs w:val="24"/>
        </w:rPr>
        <w:t>Ознакомиться с результатами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9D4" w:rsidRPr="00B01AAB">
        <w:rPr>
          <w:rFonts w:ascii="Times New Roman" w:hAnsi="Times New Roman" w:cs="Times New Roman"/>
          <w:color w:val="000000"/>
          <w:sz w:val="24"/>
          <w:szCs w:val="24"/>
        </w:rPr>
        <w:t>пробного экзамена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 по химии обучающихся 11  классов на совещаниях всех уровней </w:t>
      </w:r>
      <w:r w:rsidR="005F28ED" w:rsidRPr="00B01AAB">
        <w:rPr>
          <w:rFonts w:ascii="Times New Roman" w:hAnsi="Times New Roman" w:cs="Times New Roman"/>
          <w:color w:val="000000"/>
          <w:sz w:val="24"/>
          <w:szCs w:val="24"/>
        </w:rPr>
        <w:t>ШМ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О и </w:t>
      </w:r>
      <w:r w:rsidR="003939D4" w:rsidRPr="00B01A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>МО учителей химии.</w:t>
      </w:r>
    </w:p>
    <w:p w:rsidR="004E355C" w:rsidRPr="00B01AAB" w:rsidRDefault="00996391" w:rsidP="00B01AA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>Учителям-предметникам предостав</w:t>
      </w:r>
      <w:r w:rsidR="00957E4C" w:rsidRPr="00B01A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ть анализ выполнения </w:t>
      </w:r>
      <w:r w:rsidR="003939D4" w:rsidRPr="00B01AAB">
        <w:rPr>
          <w:rFonts w:ascii="Times New Roman" w:hAnsi="Times New Roman" w:cs="Times New Roman"/>
          <w:color w:val="000000"/>
          <w:sz w:val="24"/>
          <w:szCs w:val="24"/>
        </w:rPr>
        <w:t>пробного экзамена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 в аналитической форме, а не в форме краткого отчета.</w:t>
      </w:r>
    </w:p>
    <w:p w:rsidR="004E355C" w:rsidRPr="00B01AAB" w:rsidRDefault="00442E3F" w:rsidP="00B01AA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 </w:t>
      </w:r>
      <w:r w:rsidR="009D1B86" w:rsidRPr="00B01A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E355C" w:rsidRPr="00B01AAB">
        <w:rPr>
          <w:rFonts w:ascii="Times New Roman" w:hAnsi="Times New Roman" w:cs="Times New Roman"/>
          <w:color w:val="000000"/>
          <w:sz w:val="24"/>
          <w:szCs w:val="24"/>
        </w:rPr>
        <w:t>МО и ШМО совместно с учителями разработать систему мер по ликвидации пробелов в знаниях обучающихся</w:t>
      </w:r>
      <w:r w:rsidR="00686857" w:rsidRPr="00B01A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86857" w:rsidRPr="00B01A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01AAB">
        <w:rPr>
          <w:rFonts w:ascii="Times New Roman" w:hAnsi="Times New Roman" w:cs="Times New Roman"/>
          <w:color w:val="000000"/>
          <w:sz w:val="24"/>
          <w:szCs w:val="24"/>
        </w:rPr>
        <w:t>собое внимание обратить на выполнение заданий 2 части, отрабатывать на уроках и консультациях умения и навыки решения задач различного уровня сложности, активизировать работу по повторению изученного материала).</w:t>
      </w:r>
      <w:proofErr w:type="gramEnd"/>
    </w:p>
    <w:p w:rsidR="009D1B86" w:rsidRPr="00B01AAB" w:rsidRDefault="009D1B86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647D8" w:rsidRDefault="009D1B86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1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E355C" w:rsidRDefault="004E355C" w:rsidP="00A10D1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1AA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D1B86" w:rsidRPr="00B01AAB">
        <w:rPr>
          <w:rFonts w:ascii="Times New Roman" w:hAnsi="Times New Roman" w:cs="Times New Roman"/>
          <w:sz w:val="24"/>
          <w:szCs w:val="24"/>
        </w:rPr>
        <w:t>Вагапова Н.Ю.</w:t>
      </w:r>
      <w:r w:rsidRPr="00B01AAB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D1B86" w:rsidRPr="00B01AAB">
        <w:rPr>
          <w:rFonts w:ascii="Times New Roman" w:hAnsi="Times New Roman" w:cs="Times New Roman"/>
          <w:sz w:val="24"/>
          <w:szCs w:val="24"/>
        </w:rPr>
        <w:t>Р</w:t>
      </w:r>
      <w:r w:rsidRPr="00B01AAB">
        <w:rPr>
          <w:rFonts w:ascii="Times New Roman" w:hAnsi="Times New Roman" w:cs="Times New Roman"/>
          <w:sz w:val="24"/>
          <w:szCs w:val="24"/>
        </w:rPr>
        <w:t>МО учителей химии</w:t>
      </w:r>
    </w:p>
    <w:p w:rsidR="008647D8" w:rsidRPr="00B01AAB" w:rsidRDefault="008647D8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0D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Умурзакова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методист РМК МКУ МЦОРО</w:t>
      </w:r>
    </w:p>
    <w:bookmarkEnd w:id="0"/>
    <w:p w:rsidR="004E355C" w:rsidRPr="00B01AAB" w:rsidRDefault="004E355C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355C" w:rsidRPr="00B01AAB" w:rsidRDefault="004E355C" w:rsidP="00B01AA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355C" w:rsidRPr="00B01AAB" w:rsidRDefault="004E355C" w:rsidP="00B01AA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5C" w:rsidRPr="00F35744" w:rsidRDefault="004E355C" w:rsidP="00F35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55C" w:rsidRPr="00F35744" w:rsidSect="0065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27" w:rsidRDefault="00C02F27" w:rsidP="00EA3BF2">
      <w:pPr>
        <w:spacing w:after="0" w:line="240" w:lineRule="auto"/>
      </w:pPr>
      <w:r>
        <w:separator/>
      </w:r>
    </w:p>
  </w:endnote>
  <w:endnote w:type="continuationSeparator" w:id="0">
    <w:p w:rsidR="00C02F27" w:rsidRDefault="00C02F27" w:rsidP="00E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27" w:rsidRDefault="00C02F27" w:rsidP="00EA3BF2">
      <w:pPr>
        <w:spacing w:after="0" w:line="240" w:lineRule="auto"/>
      </w:pPr>
      <w:r>
        <w:separator/>
      </w:r>
    </w:p>
  </w:footnote>
  <w:footnote w:type="continuationSeparator" w:id="0">
    <w:p w:rsidR="00C02F27" w:rsidRDefault="00C02F27" w:rsidP="00EA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39"/>
    <w:multiLevelType w:val="hybridMultilevel"/>
    <w:tmpl w:val="ABB6FC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76C"/>
    <w:rsid w:val="000421C6"/>
    <w:rsid w:val="000851F3"/>
    <w:rsid w:val="000C39F4"/>
    <w:rsid w:val="000D5DD0"/>
    <w:rsid w:val="00104FB1"/>
    <w:rsid w:val="0014024D"/>
    <w:rsid w:val="00160B14"/>
    <w:rsid w:val="001744C3"/>
    <w:rsid w:val="001B2739"/>
    <w:rsid w:val="00240721"/>
    <w:rsid w:val="00292D8F"/>
    <w:rsid w:val="002B10E7"/>
    <w:rsid w:val="003168DF"/>
    <w:rsid w:val="00342FD1"/>
    <w:rsid w:val="0037076C"/>
    <w:rsid w:val="0039255C"/>
    <w:rsid w:val="003939D4"/>
    <w:rsid w:val="003E1CCB"/>
    <w:rsid w:val="003F7B7D"/>
    <w:rsid w:val="00442E3F"/>
    <w:rsid w:val="00451CFD"/>
    <w:rsid w:val="00460C10"/>
    <w:rsid w:val="00465E4F"/>
    <w:rsid w:val="004D678E"/>
    <w:rsid w:val="004E355C"/>
    <w:rsid w:val="00501077"/>
    <w:rsid w:val="00516B4B"/>
    <w:rsid w:val="005548FE"/>
    <w:rsid w:val="0055774A"/>
    <w:rsid w:val="005B2BE9"/>
    <w:rsid w:val="005E6938"/>
    <w:rsid w:val="005F28ED"/>
    <w:rsid w:val="005F7ACA"/>
    <w:rsid w:val="00602B1F"/>
    <w:rsid w:val="00637768"/>
    <w:rsid w:val="00652470"/>
    <w:rsid w:val="00660E34"/>
    <w:rsid w:val="006704B9"/>
    <w:rsid w:val="0067536C"/>
    <w:rsid w:val="00686857"/>
    <w:rsid w:val="006C7907"/>
    <w:rsid w:val="006F17F4"/>
    <w:rsid w:val="00706CC1"/>
    <w:rsid w:val="00756D9A"/>
    <w:rsid w:val="00776960"/>
    <w:rsid w:val="00794473"/>
    <w:rsid w:val="007D032B"/>
    <w:rsid w:val="00804206"/>
    <w:rsid w:val="008100B7"/>
    <w:rsid w:val="00810523"/>
    <w:rsid w:val="008537C5"/>
    <w:rsid w:val="008647D8"/>
    <w:rsid w:val="009335E4"/>
    <w:rsid w:val="00953E06"/>
    <w:rsid w:val="00957E4C"/>
    <w:rsid w:val="00996391"/>
    <w:rsid w:val="009D1B86"/>
    <w:rsid w:val="00A00646"/>
    <w:rsid w:val="00A10D18"/>
    <w:rsid w:val="00A347DE"/>
    <w:rsid w:val="00A5358E"/>
    <w:rsid w:val="00A7074B"/>
    <w:rsid w:val="00A7607D"/>
    <w:rsid w:val="00A766F9"/>
    <w:rsid w:val="00AE57CC"/>
    <w:rsid w:val="00B01AAB"/>
    <w:rsid w:val="00B657A0"/>
    <w:rsid w:val="00B84B60"/>
    <w:rsid w:val="00B939A2"/>
    <w:rsid w:val="00BA3BF0"/>
    <w:rsid w:val="00BD0B33"/>
    <w:rsid w:val="00BD7F86"/>
    <w:rsid w:val="00C02F27"/>
    <w:rsid w:val="00C471A2"/>
    <w:rsid w:val="00C70C6E"/>
    <w:rsid w:val="00C75A61"/>
    <w:rsid w:val="00CC390F"/>
    <w:rsid w:val="00D63A69"/>
    <w:rsid w:val="00DA67D1"/>
    <w:rsid w:val="00DD4429"/>
    <w:rsid w:val="00DF5570"/>
    <w:rsid w:val="00E032F1"/>
    <w:rsid w:val="00E071B8"/>
    <w:rsid w:val="00E121E1"/>
    <w:rsid w:val="00E379B1"/>
    <w:rsid w:val="00EA3BF2"/>
    <w:rsid w:val="00ED44AF"/>
    <w:rsid w:val="00ED4E54"/>
    <w:rsid w:val="00ED5E71"/>
    <w:rsid w:val="00F17C3C"/>
    <w:rsid w:val="00F24FF2"/>
    <w:rsid w:val="00F31023"/>
    <w:rsid w:val="00F35744"/>
    <w:rsid w:val="00F9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76C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70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6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60C10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4E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E355C"/>
    <w:pPr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8">
    <w:name w:val="Hyperlink"/>
    <w:basedOn w:val="a0"/>
    <w:rsid w:val="004E355C"/>
    <w:rPr>
      <w:color w:val="0000FF"/>
      <w:u w:val="single"/>
    </w:rPr>
  </w:style>
  <w:style w:type="paragraph" w:customStyle="1" w:styleId="Default">
    <w:name w:val="Default"/>
    <w:rsid w:val="004E35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E032F1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EA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76C"/>
    <w:pPr>
      <w:ind w:left="720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370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6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60C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105610561056105E-2"/>
          <c:y val="9.8901098901099133E-2"/>
          <c:w val="0.77392739273927447"/>
          <c:h val="0.71428571428571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Sheet1!$B$1:$AD$1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Sheet1!$B$2:$AD$2</c:f>
              <c:numCache>
                <c:formatCode>General</c:formatCode>
                <c:ptCount val="29"/>
                <c:pt idx="0">
                  <c:v>56.25</c:v>
                </c:pt>
                <c:pt idx="1">
                  <c:v>81.25</c:v>
                </c:pt>
                <c:pt idx="2">
                  <c:v>93.75</c:v>
                </c:pt>
                <c:pt idx="3">
                  <c:v>62.5</c:v>
                </c:pt>
                <c:pt idx="4">
                  <c:v>81.25</c:v>
                </c:pt>
                <c:pt idx="5">
                  <c:v>87.5</c:v>
                </c:pt>
                <c:pt idx="6">
                  <c:v>87.5</c:v>
                </c:pt>
                <c:pt idx="7">
                  <c:v>68.75</c:v>
                </c:pt>
                <c:pt idx="8">
                  <c:v>62.5</c:v>
                </c:pt>
                <c:pt idx="9">
                  <c:v>75</c:v>
                </c:pt>
                <c:pt idx="10">
                  <c:v>43.75</c:v>
                </c:pt>
                <c:pt idx="11">
                  <c:v>62.5</c:v>
                </c:pt>
                <c:pt idx="12">
                  <c:v>81.25</c:v>
                </c:pt>
                <c:pt idx="13">
                  <c:v>56.25</c:v>
                </c:pt>
                <c:pt idx="14">
                  <c:v>37.5</c:v>
                </c:pt>
                <c:pt idx="15">
                  <c:v>50</c:v>
                </c:pt>
                <c:pt idx="16">
                  <c:v>87.5</c:v>
                </c:pt>
                <c:pt idx="17">
                  <c:v>0</c:v>
                </c:pt>
                <c:pt idx="18">
                  <c:v>68.75</c:v>
                </c:pt>
                <c:pt idx="19">
                  <c:v>59</c:v>
                </c:pt>
                <c:pt idx="20">
                  <c:v>68.75</c:v>
                </c:pt>
                <c:pt idx="21">
                  <c:v>0</c:v>
                </c:pt>
                <c:pt idx="22">
                  <c:v>62.5</c:v>
                </c:pt>
                <c:pt idx="23">
                  <c:v>12.5</c:v>
                </c:pt>
                <c:pt idx="24">
                  <c:v>31.25</c:v>
                </c:pt>
                <c:pt idx="25">
                  <c:v>50</c:v>
                </c:pt>
                <c:pt idx="26">
                  <c:v>68.75</c:v>
                </c:pt>
                <c:pt idx="27">
                  <c:v>56.25</c:v>
                </c:pt>
                <c:pt idx="28">
                  <c:v>87.5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157312"/>
        <c:axId val="139068544"/>
        <c:axId val="0"/>
      </c:bar3DChart>
      <c:catAx>
        <c:axId val="6015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0685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39068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157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818481848184912"/>
          <c:y val="0.44505494505494581"/>
          <c:w val="0.14521452145214542"/>
          <c:h val="0.109890109890109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 баллов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10</c:v>
                </c:pt>
                <c:pt idx="1">
                  <c:v>11</c:v>
                </c:pt>
                <c:pt idx="2">
                  <c:v>18</c:v>
                </c:pt>
                <c:pt idx="3">
                  <c:v>19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12.5</c:v>
                </c:pt>
                <c:pt idx="1">
                  <c:v>31.25</c:v>
                </c:pt>
                <c:pt idx="2">
                  <c:v>31.25</c:v>
                </c:pt>
                <c:pt idx="3">
                  <c:v>25</c:v>
                </c:pt>
                <c:pt idx="4">
                  <c:v>18.75</c:v>
                </c:pt>
                <c:pt idx="5">
                  <c:v>18.75</c:v>
                </c:pt>
                <c:pt idx="6">
                  <c:v>12.5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10</c:v>
                </c:pt>
                <c:pt idx="1">
                  <c:v>11</c:v>
                </c:pt>
                <c:pt idx="2">
                  <c:v>18</c:v>
                </c:pt>
                <c:pt idx="3">
                  <c:v>19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12.5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0</c:v>
                </c:pt>
                <c:pt idx="5">
                  <c:v>18.75</c:v>
                </c:pt>
                <c:pt idx="6">
                  <c:v>75</c:v>
                </c:pt>
                <c:pt idx="7">
                  <c:v>18.75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10</c:v>
                </c:pt>
                <c:pt idx="1">
                  <c:v>11</c:v>
                </c:pt>
                <c:pt idx="2">
                  <c:v>18</c:v>
                </c:pt>
                <c:pt idx="3">
                  <c:v>19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75</c:v>
                </c:pt>
                <c:pt idx="1">
                  <c:v>43.75</c:v>
                </c:pt>
                <c:pt idx="2">
                  <c:v>56.25</c:v>
                </c:pt>
                <c:pt idx="3">
                  <c:v>68.75</c:v>
                </c:pt>
                <c:pt idx="4">
                  <c:v>62.5</c:v>
                </c:pt>
                <c:pt idx="5">
                  <c:v>62.5</c:v>
                </c:pt>
                <c:pt idx="6">
                  <c:v>12.5</c:v>
                </c:pt>
                <c:pt idx="7">
                  <c:v>31.25</c:v>
                </c:pt>
                <c:pt idx="8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приступили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10</c:v>
                </c:pt>
                <c:pt idx="1">
                  <c:v>11</c:v>
                </c:pt>
                <c:pt idx="2">
                  <c:v>18</c:v>
                </c:pt>
                <c:pt idx="3">
                  <c:v>19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18.75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94656"/>
        <c:axId val="145949056"/>
      </c:barChart>
      <c:catAx>
        <c:axId val="1390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5949056"/>
        <c:crosses val="autoZero"/>
        <c:auto val="1"/>
        <c:lblAlgn val="ctr"/>
        <c:lblOffset val="100"/>
        <c:noMultiLvlLbl val="0"/>
      </c:catAx>
      <c:valAx>
        <c:axId val="14594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9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130929791271354E-2"/>
          <c:y val="7.1428571428571425E-2"/>
          <c:w val="0.75142314990512338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62.5</c:v>
                </c:pt>
                <c:pt idx="1">
                  <c:v>18.75</c:v>
                </c:pt>
                <c:pt idx="2">
                  <c:v>25</c:v>
                </c:pt>
                <c:pt idx="3">
                  <c:v>18.75</c:v>
                </c:pt>
                <c:pt idx="4">
                  <c:v>31.25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985920"/>
        <c:axId val="145987456"/>
        <c:axId val="0"/>
      </c:bar3DChart>
      <c:catAx>
        <c:axId val="14598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98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987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985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542694497153657"/>
          <c:y val="0.44505494505494564"/>
          <c:w val="0.16698292220113853"/>
          <c:h val="0.109890109890109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87551867219914E-2"/>
          <c:y val="7.9470198675496692E-2"/>
          <c:w val="0.6203319502074689"/>
          <c:h val="0.75827814569536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37.5</c:v>
                </c:pt>
                <c:pt idx="2">
                  <c:v>6.25</c:v>
                </c:pt>
                <c:pt idx="3">
                  <c:v>6.25</c:v>
                </c:pt>
                <c:pt idx="4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6.25</c:v>
                </c:pt>
                <c:pt idx="1">
                  <c:v>6.25</c:v>
                </c:pt>
                <c:pt idx="2">
                  <c:v>6.25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6.25</c:v>
                </c:pt>
                <c:pt idx="1">
                  <c:v>12.5</c:v>
                </c:pt>
                <c:pt idx="2">
                  <c:v>12.5</c:v>
                </c:pt>
                <c:pt idx="3">
                  <c:v>6.25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 балла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62.5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  <c:pt idx="4">
                  <c:v>6.25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4 балла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1">
                  <c:v>18.75</c:v>
                </c:pt>
                <c:pt idx="2">
                  <c:v>25</c:v>
                </c:pt>
                <c:pt idx="3">
                  <c:v>18.75</c:v>
                </c:pt>
                <c:pt idx="4">
                  <c:v>31.25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5"/>
                <c:pt idx="2">
                  <c:v>25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 приступили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30</c:v>
                </c:pt>
                <c:pt idx="1">
                  <c:v>31</c:v>
                </c:pt>
                <c:pt idx="2">
                  <c:v>32</c:v>
                </c:pt>
                <c:pt idx="3">
                  <c:v>33</c:v>
                </c:pt>
                <c:pt idx="4">
                  <c:v>34</c:v>
                </c:pt>
              </c:numCache>
            </c:numRef>
          </c:cat>
          <c:val>
            <c:numRef>
              <c:f>Sheet1!$B$8:$F$8</c:f>
              <c:numCache>
                <c:formatCode>General</c:formatCode>
                <c:ptCount val="5"/>
                <c:pt idx="0">
                  <c:v>0</c:v>
                </c:pt>
                <c:pt idx="1">
                  <c:v>12.5</c:v>
                </c:pt>
                <c:pt idx="2">
                  <c:v>12.5</c:v>
                </c:pt>
                <c:pt idx="3">
                  <c:v>56.25</c:v>
                </c:pt>
                <c:pt idx="4">
                  <c:v>37.5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52640"/>
        <c:axId val="148754432"/>
      </c:barChart>
      <c:catAx>
        <c:axId val="1487526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75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75443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752640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14107883817602"/>
          <c:y val="0.17880794701986771"/>
          <c:w val="0.26556016597510418"/>
          <c:h val="0.5596026490066224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4444-6195-41E8-BB56-C972795C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Юля</cp:lastModifiedBy>
  <cp:revision>10</cp:revision>
  <cp:lastPrinted>2016-04-28T09:59:00Z</cp:lastPrinted>
  <dcterms:created xsi:type="dcterms:W3CDTF">2017-02-20T14:34:00Z</dcterms:created>
  <dcterms:modified xsi:type="dcterms:W3CDTF">2017-02-22T05:05:00Z</dcterms:modified>
</cp:coreProperties>
</file>